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Professor Dr. Marina Kapitonova</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Medicine and Health Sciences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082-267316</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kmarina@unimas.my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Prof Dr Marina Kapitonova has obtained her MBBS/MD in 1981 from the Volgograd State Medical University, MSc in Rheumatology in 1986 from the Research  Institute of Rheumatology, Moscow,  and her  PhD in Anatomy in 1999 from the Sechenov  1st Moscow  State Medical University (Russia). After graduation she worked as a lecturer (from 1982), associate professor (from 1990), full professor (from 1997) and chair (from 2003) of histology, cell biology and embryology of the Volgograd State Medical University (Russia). From 2001 she started working as a visiting professor/associate professor of the USM Faculty of Medicine (Kelantan, Malaysia), from 2007 - as a visiting professor/full professor, and from 2012 - as a chair of Anatomy  in UiTM Faculty of Medicine, Selangor, Malaysia. In July 2017 she joined UNIMAS Faculty of Medicine and Health Sciences as a full professor of Anatomy. Her main areas of research interests are neuroimmunoendocrinology of stress, nanopharmacology of neurodegenerative diseases, electron microscopy, immunohistochemistry and image analysis. She graduated 3 MSc and 9 PhD students in Russia and Malaysia and published 3 books/2 chapters in the books and over full 30 papers in SCOPUS/ISI journals.</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Medical Sciences,  , 1999</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Doctor of Philosophy in, Medicine, Academic of the Medical Sciences of the USSR, Institute of Rheumatology, 1987</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Doctor of Medicine, General Medicine, Volgograd State Medical Uni, 1981</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Biomedical Sciences, Other Biomedical Sciences n.e.c.</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Nanotechnology, Nanotechnology</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Depression-modulated age-related activation pattern of the hypothalamo-hypophyseo-adrenal axis in rats., Head / Project Leader, 2018-2020, Special Top Down Grant</w:t>
      </w:r>
    </w:p>
    <w:p>
      <w:pPr>
        <w:spacing w:line="240" w:lineRule="auto"/>
        <w:ind w:left="360"/>
        <w:jc w:val="both"/>
        <w:rPr>
          <w:rFonts w:ascii="Arial" w:cs="Arial" w:hAnsi="Arial"/>
          <w:sz w:val="16"/>
          <w:szCs w:val="16"/>
        </w:rPr>
      </w:pPr>
      <w:r>
        <w:rPr>
          <w:rFonts w:ascii="Arial" w:cs="Arial" w:hAnsi="Arial"/>
          <w:sz w:val="16"/>
          <w:szCs w:val="16"/>
        </w:rPr>
        <w:t>The Effect of Tinospora crispa extract on the expression
and signalling of the receptor for advanced glycation
end products (RAGE) in Methylglyoxal stimulated
osteoblast cells., Co-Researcher, 2019-2021, Kursi Tun Zaidi</w:t>
      </w:r>
    </w:p>
    <w:p>
      <w:pPr>
        <w:spacing w:line="240" w:lineRule="auto"/>
        <w:ind w:left="360"/>
        <w:jc w:val="both"/>
        <w:rPr>
          <w:rFonts w:ascii="Arial" w:cs="Arial" w:hAnsi="Arial"/>
          <w:sz w:val="16"/>
          <w:szCs w:val="16"/>
        </w:rPr>
      </w:pPr>
      <w:r>
        <w:rPr>
          <w:rFonts w:ascii="Arial" w:cs="Arial" w:hAnsi="Arial"/>
          <w:sz w:val="16"/>
          <w:szCs w:val="16"/>
        </w:rPr>
        <w:t>Nanoparticulate BDNF as a potential antidepressant via neuroendocrine mechanisms in experimental model of depression, Head / Project Leader, 2020-2023, Luar (Nasional)</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Ngadan D.P., Mazlan N.S.B., Jamel A.M.A., Ismail S.B., Mahendran D.K.A. and Kapitonova M. (2026). PREVALENCE OF SOCIAL MEDIA ADDICTION AND ITS ASSOCIATED FACTORS AMONG UNDERGRADUATE STUDENTS AT UNIVERSITI MALAYSIA SARAWAK (UNIMAS), SARAWAK РАСПРОСТРАНЁННОСТЬ ЗАВИСИМОСТИ ОТ СОЦИАЛЬНЫХ СЕТЕЙ И СВЯЗАННЫЕ С НЕЙ ФАКТОРЫ СРЕДИ СТУДЕНТОВ БАКАЛАВРИАТА УНИВЕРСИТЕТА МАЛАЙЗИИ САРАВАК (UNIMAS). Avicenna Bulletin, 28(1), 67-75.</w:t>
      </w:r>
    </w:p>
    <w:p>
      <w:pPr>
        <w:spacing w:line="240" w:lineRule="auto"/>
        <w:ind w:left="360"/>
        <w:jc w:val="both"/>
        <w:rPr>
          <w:rFonts w:ascii="Arial" w:cs="Arial" w:hAnsi="Arial"/>
          <w:sz w:val="16"/>
          <w:szCs w:val="16"/>
        </w:rPr>
      </w:pPr>
      <w:r>
        <w:rPr>
          <w:rFonts w:ascii="Arial" w:cs="Arial" w:hAnsi="Arial"/>
          <w:sz w:val="16"/>
          <w:szCs w:val="16"/>
        </w:rPr>
        <w:t>Kapitonova M., Alyautdin R., Morokhina S., Sergunova E., Brohi I., Talip S., Ramli N. and Ibrahim A. (2025). DETERMINATION OF THE ACTIVE COMPOUNDS IN THE EXTRACT OF THE
BERBERIS VULGARIS LEAVES PREPARATION FOR ITS APPLICATION TO PREVENT A PEPTIC GASTRIC ULCER. Avicenna bulletin, 27(4), 921-927.</w:t>
      </w:r>
    </w:p>
    <w:p>
      <w:pPr>
        <w:spacing w:line="240" w:lineRule="auto"/>
        <w:ind w:left="360"/>
        <w:jc w:val="both"/>
        <w:rPr>
          <w:rFonts w:ascii="Arial" w:cs="Arial" w:hAnsi="Arial"/>
          <w:sz w:val="16"/>
          <w:szCs w:val="16"/>
        </w:rPr>
      </w:pPr>
      <w:r>
        <w:rPr>
          <w:rFonts w:ascii="Arial" w:cs="Arial" w:hAnsi="Arial"/>
          <w:sz w:val="16"/>
          <w:szCs w:val="16"/>
        </w:rPr>
        <w:t>10.25005/2074-0581-2025-27-3-572-582</w:t>
      </w:r>
    </w:p>
    <w:p>
      <w:pPr>
        <w:spacing w:line="240" w:lineRule="auto"/>
        <w:ind w:left="360"/>
        <w:jc w:val="both"/>
        <w:rPr>
          <w:rFonts w:ascii="Arial" w:cs="Arial" w:hAnsi="Arial"/>
          <w:sz w:val="16"/>
          <w:szCs w:val="16"/>
        </w:rPr>
      </w:pPr>
      <w:r>
        <w:rPr>
          <w:rFonts w:ascii="Arial" w:cs="Arial" w:hAnsi="Arial"/>
          <w:sz w:val="16"/>
          <w:szCs w:val="16"/>
        </w:rPr>
        <w:t>Razlan N., Kapitonova M., Talip S., Moe Nwe T. and Froemming G. (2025). Interplay between modelled depression and hypothalamo-pituitary–adrenal axis. , 1(1), 50-50.</w:t>
      </w:r>
    </w:p>
    <w:p>
      <w:pPr>
        <w:spacing w:line="240" w:lineRule="auto"/>
        <w:ind w:left="360"/>
        <w:jc w:val="both"/>
        <w:rPr>
          <w:rFonts w:ascii="Arial" w:cs="Arial" w:hAnsi="Arial"/>
          <w:sz w:val="16"/>
          <w:szCs w:val="16"/>
        </w:rPr>
      </w:pPr>
      <w:r>
        <w:rPr>
          <w:rFonts w:ascii="Arial" w:cs="Arial" w:hAnsi="Arial"/>
          <w:sz w:val="16"/>
          <w:szCs w:val="16"/>
        </w:rPr>
        <w:t>Terminologia Anatomica (TA2), Terminologia Neuroanatomica (TNA) and Terminologia Oroanatomica (TOA) with Russian equivalents.</w:t>
      </w:r>
    </w:p>
    <w:p>
      <w:pPr>
        <w:spacing w:line="240" w:lineRule="auto"/>
        <w:ind w:left="360"/>
        <w:jc w:val="both"/>
        <w:rPr>
          <w:rFonts w:ascii="Arial" w:cs="Arial" w:hAnsi="Arial"/>
          <w:sz w:val="16"/>
          <w:szCs w:val="16"/>
        </w:rPr>
      </w:pPr>
      <w:r>
        <w:rPr>
          <w:rFonts w:ascii="Arial" w:cs="Arial" w:hAnsi="Arial"/>
          <w:sz w:val="16"/>
          <w:szCs w:val="16"/>
        </w:rPr>
        <w:t>Siner A., Kapitonova M., Dydykin S., Zadnipryany I., Nikolenko V., Udochkina L., Hadie S., Koh R., Saad W., Mahmood M., Smirnov A., Fedorova O. and Ahmad Pahmi F. (2025). 2nd International Symposium : Frontiers in Anatomy and Physiology Research and Education. , 1(1), 1-90.</w:t>
      </w:r>
    </w:p>
    <w:p>
      <w:pPr>
        <w:spacing w:line="240" w:lineRule="auto"/>
        <w:ind w:left="360"/>
        <w:jc w:val="both"/>
        <w:rPr>
          <w:rFonts w:ascii="Arial" w:cs="Arial" w:hAnsi="Arial"/>
          <w:sz w:val="16"/>
          <w:szCs w:val="16"/>
        </w:rPr>
      </w:pPr>
      <w:r>
        <w:rPr>
          <w:rFonts w:ascii="Arial" w:cs="Arial" w:hAnsi="Arial"/>
          <w:sz w:val="16"/>
          <w:szCs w:val="16"/>
        </w:rPr>
        <w:t>Embryological Terminology (TE 2) with Russian Equivalents</w:t>
      </w:r>
    </w:p>
    <w:p>
      <w:pPr>
        <w:spacing w:line="240" w:lineRule="auto"/>
        <w:ind w:left="360"/>
        <w:jc w:val="both"/>
        <w:rPr>
          <w:rFonts w:ascii="Arial" w:cs="Arial" w:hAnsi="Arial"/>
          <w:sz w:val="16"/>
          <w:szCs w:val="16"/>
        </w:rPr>
      </w:pPr>
      <w:r>
        <w:rPr>
          <w:rFonts w:ascii="Arial" w:cs="Arial" w:hAnsi="Arial"/>
          <w:sz w:val="16"/>
          <w:szCs w:val="16"/>
        </w:rPr>
        <w:t>Shkarin V.V., Fedorova O.V., Kapitonova M.Y., Talip S.B., Ramli N., Brohi I.B., Udochkina L.A. and Gupalo S.P. (2025). PROBLEM-BASED LEARNING: WHAT DO WE KNOW ABOUT IT TODAY?. Avicenna Bulletin, 27(2), 317-326.</w:t>
      </w:r>
    </w:p>
    <w:p>
      <w:pPr>
        <w:spacing w:line="240" w:lineRule="auto"/>
        <w:ind w:left="360"/>
        <w:jc w:val="both"/>
        <w:rPr>
          <w:rFonts w:ascii="Arial" w:cs="Arial" w:hAnsi="Arial"/>
          <w:sz w:val="16"/>
          <w:szCs w:val="16"/>
        </w:rPr>
      </w:pPr>
      <w:r>
        <w:rPr>
          <w:rFonts w:ascii="Arial" w:cs="Arial" w:hAnsi="Arial"/>
          <w:sz w:val="16"/>
          <w:szCs w:val="16"/>
        </w:rPr>
        <w:t>Innovations in Medical Education in Gastrointestinal Surgery Using Interactive Anatomical Tables.</w:t>
      </w:r>
    </w:p>
    <w:p>
      <w:pPr>
        <w:spacing w:line="240" w:lineRule="auto"/>
        <w:ind w:left="360"/>
        <w:jc w:val="both"/>
        <w:rPr>
          <w:rFonts w:ascii="Arial" w:cs="Arial" w:hAnsi="Arial"/>
          <w:sz w:val="16"/>
          <w:szCs w:val="16"/>
        </w:rPr>
      </w:pPr>
      <w:r>
        <w:rPr>
          <w:rFonts w:ascii="Arial" w:cs="Arial" w:hAnsi="Arial"/>
          <w:sz w:val="16"/>
          <w:szCs w:val="16"/>
        </w:rPr>
        <w:t>Razlan N.A.D., Kapitonova M., Talip S.B., Ramli N., Brohi I.B., Nwe T.M. and Alyautdin R.N. (2024). Nanoparticulate BDNF as a potential antidepressant via neuroendocrine mechanisms in experimental model of depression. AVICENNA BULLETIN, 26(3), 407-416.</w:t>
      </w:r>
    </w:p>
    <w:p>
      <w:pPr>
        <w:spacing w:line="240" w:lineRule="auto"/>
        <w:ind w:left="360"/>
        <w:jc w:val="both"/>
        <w:rPr>
          <w:rFonts w:ascii="Arial" w:cs="Arial" w:hAnsi="Arial"/>
          <w:sz w:val="16"/>
          <w:szCs w:val="16"/>
        </w:rPr>
      </w:pPr>
      <w:r>
        <w:rPr>
          <w:rFonts w:ascii="Arial" w:cs="Arial" w:hAnsi="Arial"/>
          <w:sz w:val="16"/>
          <w:szCs w:val="16"/>
        </w:rPr>
        <w:t>Binti Razlan N.A.D., Kapitonova M., Alyautdin R.N., Talip S.B., Ramli N. and Nwe T.M. (2024). EXPERIMENTAL DEPRESSION-MODULATED ACTIVATION PATTERN OF THE HYPOTHALAMIC-PITUITARY-ADRENAL AXIS. Avicenna Bulletin, 26(1), 57-66.</w:t>
      </w:r>
    </w:p>
    <w:p>
      <w:pPr>
        <w:spacing w:line="240" w:lineRule="auto"/>
        <w:ind w:left="360"/>
        <w:jc w:val="both"/>
        <w:rPr>
          <w:rFonts w:ascii="Arial" w:cs="Arial" w:hAnsi="Arial"/>
          <w:sz w:val="16"/>
          <w:szCs w:val="16"/>
        </w:rPr>
      </w:pPr>
      <w:r>
        <w:rPr>
          <w:rFonts w:ascii="Arial" w:cs="Arial" w:hAnsi="Arial"/>
          <w:sz w:val="16"/>
          <w:szCs w:val="16"/>
        </w:rPr>
        <w:t>Nikityuk D.B., Dydykin S.S., Kagan I.I., Zadnipryany I.V., Vasil'ev Y.L. and Kapitonova M.Yu. (2024). About the first edition of the International Neuronatomical Terminology (TNA) and its Russian equivalent. Russian Journal of Operative Surgery and Clinical Anatomy, 8(2), 42-50.</w:t>
      </w:r>
    </w:p>
    <w:p>
      <w:pPr>
        <w:spacing w:line="240" w:lineRule="auto"/>
        <w:ind w:left="360"/>
        <w:jc w:val="both"/>
        <w:rPr>
          <w:rFonts w:ascii="Arial" w:cs="Arial" w:hAnsi="Arial"/>
          <w:sz w:val="16"/>
          <w:szCs w:val="16"/>
        </w:rPr>
      </w:pPr>
      <w:r>
        <w:rPr>
          <w:rFonts w:ascii="Arial" w:cs="Arial" w:hAnsi="Arial"/>
          <w:sz w:val="16"/>
          <w:szCs w:val="16"/>
        </w:rPr>
        <w:t>THE ROLE OF SCHWANN CELLS IN THE PATHOLOGY OF THE HUMAN APPENDIX IN CHILDREN</w:t>
      </w:r>
    </w:p>
    <w:p>
      <w:pPr>
        <w:spacing w:line="240" w:lineRule="auto"/>
        <w:ind w:left="360"/>
        <w:jc w:val="both"/>
        <w:rPr>
          <w:rFonts w:ascii="Arial" w:cs="Arial" w:hAnsi="Arial"/>
          <w:sz w:val="16"/>
          <w:szCs w:val="16"/>
        </w:rPr>
      </w:pPr>
      <w:r>
        <w:rPr>
          <w:rFonts w:ascii="Arial" w:cs="Arial" w:hAnsi="Arial"/>
          <w:sz w:val="16"/>
          <w:szCs w:val="16"/>
        </w:rPr>
        <w:t>Hallux Valgus: Licks at the ankle joints, but bites at the hip joint?Avicenna Bulletin, vol.25, no. 4, pg.553-561</w:t>
      </w:r>
    </w:p>
    <w:p>
      <w:pPr>
        <w:spacing w:line="240" w:lineRule="auto"/>
        <w:ind w:left="360"/>
        <w:jc w:val="both"/>
        <w:rPr>
          <w:rFonts w:ascii="Arial" w:cs="Arial" w:hAnsi="Arial"/>
          <w:sz w:val="16"/>
          <w:szCs w:val="16"/>
        </w:rPr>
      </w:pPr>
      <w:r>
        <w:rPr>
          <w:rFonts w:ascii="Arial" w:cs="Arial" w:hAnsi="Arial"/>
          <w:sz w:val="16"/>
          <w:szCs w:val="16"/>
        </w:rPr>
        <w:t>Blinova E., Kapitonova M., Tatarkin V., Mikutskaya N., Khlebnikova A. and Dydykin S. (2023). Clinical anatomy features of the buccal part of the facial vein.. Clinical Dentistry, 26(3), 140-145.</w:t>
      </w:r>
    </w:p>
    <w:p>
      <w:pPr>
        <w:spacing w:line="240" w:lineRule="auto"/>
        <w:ind w:left="360"/>
        <w:jc w:val="both"/>
        <w:rPr>
          <w:rFonts w:ascii="Arial" w:cs="Arial" w:hAnsi="Arial"/>
          <w:sz w:val="16"/>
          <w:szCs w:val="16"/>
        </w:rPr>
      </w:pPr>
      <w:r>
        <w:rPr>
          <w:rFonts w:ascii="Arial" w:cs="Arial" w:hAnsi="Arial"/>
          <w:sz w:val="16"/>
          <w:szCs w:val="16"/>
        </w:rPr>
        <w:t>Hadi Darawsheh, Sergey Dydykin, Aisr Zmiro, Sergey Gupalo,
Marina Kapitonova, Gurgen Pakhlevanyan,
Elizaveta Terekhina, Natalya Tiunova,
Viktoria Vladimirova5, Emin Mammadov3 ,
Yuriy Vasil'ev (2023) MORPHOMETRIC CHARACTERISTICS OF THE MANDIBULAR CONDYLAR PROCESSES. ARHIV EUROMEDICA, vol. 13, no. 3, pg. 1-9</w:t>
      </w:r>
    </w:p>
    <w:p>
      <w:pPr>
        <w:spacing w:line="240" w:lineRule="auto"/>
        <w:ind w:left="360"/>
        <w:jc w:val="both"/>
        <w:rPr>
          <w:rFonts w:ascii="Arial" w:cs="Arial" w:hAnsi="Arial"/>
          <w:sz w:val="16"/>
          <w:szCs w:val="16"/>
        </w:rPr>
      </w:pPr>
      <w:r>
        <w:rPr>
          <w:rFonts w:ascii="Arial" w:cs="Arial" w:hAnsi="Arial"/>
          <w:sz w:val="16"/>
          <w:szCs w:val="16"/>
        </w:rPr>
        <w:t>Yuriy L. Vasil'ev, Sergey S. Dydykin, Artem D. Kashtanov, Ekaterina V. Molotok, Alexandra A. Lyakisheva, Olesya V. Kytko, Marina Kapitonova, Alexandr A. Vorobyov, Ekaterina V. Litvina, Vladimir I. Filimonov, Alexandr I. Bezhin, Alexandr V. Kolsanov. (2023) A comparative analysis of lecturers’ satisfaction with  Pirogov and Anatomage virtual dissection tables during  Clinical and Topographic Anatomy courses in Russian universities. Anatomical Sciences Education, vol.16 no.1 pg,196-208</w:t>
      </w:r>
    </w:p>
    <w:p>
      <w:pPr>
        <w:spacing w:line="240" w:lineRule="auto"/>
        <w:ind w:left="360"/>
        <w:jc w:val="both"/>
        <w:rPr>
          <w:rFonts w:ascii="Arial" w:cs="Arial" w:hAnsi="Arial"/>
          <w:sz w:val="16"/>
          <w:szCs w:val="16"/>
        </w:rPr>
      </w:pPr>
      <w:r>
        <w:rPr>
          <w:rFonts w:ascii="Arial" w:cs="Arial" w:hAnsi="Arial"/>
          <w:sz w:val="16"/>
          <w:szCs w:val="16"/>
        </w:rPr>
        <w:t>Singa T.A., Okechukwu P.N., Amit Z.B., Ibrahim M.J., Kapitonova M. and Anisah Froemming G.R. (2022). The ameliorating effects of Tinospora species on the formation of advanced glycation end-products (AGEs) and associated oxidative stress. Medicinal Plants, 14(3), 405-420.</w:t>
      </w:r>
    </w:p>
    <w:p>
      <w:pPr>
        <w:spacing w:line="240" w:lineRule="auto"/>
        <w:ind w:left="360"/>
        <w:jc w:val="both"/>
        <w:rPr>
          <w:rFonts w:ascii="Arial" w:cs="Arial" w:hAnsi="Arial"/>
          <w:sz w:val="16"/>
          <w:szCs w:val="16"/>
        </w:rPr>
      </w:pPr>
      <w:r>
        <w:rPr>
          <w:rFonts w:ascii="Arial" w:cs="Arial" w:hAnsi="Arial"/>
          <w:sz w:val="16"/>
          <w:szCs w:val="16"/>
        </w:rPr>
        <w:t>Dydykin, S., Paulsen, F., Khorobykh, T., Mishchenko, N., Kapitonova, M., Gupalo, S., Bogoyavlenskaya, T., Agadzhanov, V., &amp; Salikhov, P. (2022). Mediastinal anatomical landmarks, their variants and tips for video-assisted thoracoscopic navigation during oesophageal extirpation. Surgical and radiologic anatomy 2022, Vol.44, no. 1, pg.117-127</w:t>
      </w:r>
    </w:p>
    <w:p>
      <w:pPr>
        <w:spacing w:line="240" w:lineRule="auto"/>
        <w:ind w:left="360"/>
        <w:jc w:val="both"/>
        <w:rPr>
          <w:rFonts w:ascii="Arial" w:cs="Arial" w:hAnsi="Arial"/>
          <w:sz w:val="16"/>
          <w:szCs w:val="16"/>
        </w:rPr>
      </w:pPr>
      <w:r>
        <w:rPr>
          <w:rFonts w:ascii="Arial" w:cs="Arial" w:hAnsi="Arial"/>
          <w:sz w:val="16"/>
          <w:szCs w:val="16"/>
        </w:rPr>
        <w:t>Zhukova O., Dydykin S., Kubikova E., Markova N., Vasil'ev Y. and Kapitonova M. (2022). A New Complex Minimally Invasive Thread Lift Method for One-Time Three-Step Fixation of the Face and Neck Soft Tissues. Archives of Plastic Surgery, 49(3), 296-303.</w:t>
      </w:r>
    </w:p>
    <w:p>
      <w:pPr>
        <w:spacing w:line="240" w:lineRule="auto"/>
        <w:ind w:left="360"/>
        <w:jc w:val="both"/>
        <w:rPr>
          <w:rFonts w:ascii="Arial" w:cs="Arial" w:hAnsi="Arial"/>
          <w:sz w:val="16"/>
          <w:szCs w:val="16"/>
        </w:rPr>
      </w:pPr>
      <w:r>
        <w:rPr>
          <w:rFonts w:ascii="Arial" w:cs="Arial" w:hAnsi="Arial"/>
          <w:sz w:val="16"/>
          <w:szCs w:val="16"/>
        </w:rPr>
        <w:t>Kashtanov A., Molotok E., Yavorovskiy A., Boyarkov A., Vasil'Ev Y., Alsaegh A., Dydykin S., Kytko O., Meylanova R., Enina Y., Troitskiy V., Kapitonova M., Vaits S., Vaits T., Saleev R., Saleeva G. and Saleev N. (2022). A Comparative Cross-Sectional Study Assessing the Psycho-Emotional State of Intensive Care Units’ Physicians and Nurses of COVID-19 Hospitals of a Russian Metropolis. International Journal of Environmental Research and Public Health, 19(3), 1.</w:t>
      </w:r>
    </w:p>
    <w:p>
      <w:pPr>
        <w:spacing w:line="240" w:lineRule="auto"/>
        <w:ind w:left="360"/>
        <w:jc w:val="both"/>
        <w:rPr>
          <w:rFonts w:ascii="Arial" w:cs="Arial" w:hAnsi="Arial"/>
          <w:sz w:val="16"/>
          <w:szCs w:val="16"/>
        </w:rPr>
      </w:pPr>
      <w:r>
        <w:rPr>
          <w:rFonts w:ascii="Arial" w:cs="Arial" w:hAnsi="Arial"/>
          <w:sz w:val="16"/>
          <w:szCs w:val="16"/>
        </w:rPr>
        <w:t>Nwe T., Mary Tang Ing Y., Mahiden I., Jowel T., Juma’adee A., Yee K., Kapitonova M., Lwin S. and Swe Swe L. (2022). Attitude of UNIMAS Pre-Clinical Medical Students towards Online Learning and the Challenges Faced by Them. Research Journal of Pharmacy and Technology (RJPT), 15(3), 1273-1281.</w:t>
      </w:r>
    </w:p>
    <w:p>
      <w:pPr>
        <w:spacing w:line="240" w:lineRule="auto"/>
        <w:ind w:left="360"/>
        <w:jc w:val="both"/>
        <w:rPr>
          <w:rFonts w:ascii="Arial" w:cs="Arial" w:hAnsi="Arial"/>
          <w:sz w:val="16"/>
          <w:szCs w:val="16"/>
        </w:rPr>
      </w:pPr>
      <w:r>
        <w:rPr>
          <w:rFonts w:ascii="Arial" w:cs="Arial" w:hAnsi="Arial"/>
          <w:sz w:val="16"/>
          <w:szCs w:val="16"/>
        </w:rPr>
        <w:t>Khubutia M.SH., Gulyaev V.A., Novruzbekov M.S., Olisov O.D., Lutsyk K.N.,Zhuravel A.V., Lemenev B.L., Magomedov K.M., Mironov A.S., Yaremin B. I., Dydykin S.S.,Vasil’ev Yu.L., Kapitonova M., Gupalo S. (2021) Features of the Restoration of Arterial Circulation in Liver Transplantation. Journal of international dental and medical research, Vol.14, No.3, pg.1202-1209.</w:t>
      </w:r>
    </w:p>
    <w:p>
      <w:pPr>
        <w:spacing w:line="240" w:lineRule="auto"/>
        <w:ind w:left="360"/>
        <w:jc w:val="both"/>
        <w:rPr>
          <w:rFonts w:ascii="Arial" w:cs="Arial" w:hAnsi="Arial"/>
          <w:sz w:val="16"/>
          <w:szCs w:val="16"/>
        </w:rPr>
      </w:pPr>
      <w:r>
        <w:rPr>
          <w:rFonts w:ascii="Arial" w:cs="Arial" w:hAnsi="Arial"/>
          <w:sz w:val="16"/>
          <w:szCs w:val="16"/>
        </w:rPr>
        <w:t>Possibilities for recovery of blood outflow during thrombosis of the liver's own hepatic veins in the early periods after transplantation.</w:t>
      </w:r>
    </w:p>
    <w:p>
      <w:pPr>
        <w:spacing w:line="240" w:lineRule="auto"/>
        <w:ind w:left="360"/>
        <w:jc w:val="both"/>
        <w:rPr>
          <w:rFonts w:ascii="Arial" w:cs="Arial" w:hAnsi="Arial"/>
          <w:sz w:val="16"/>
          <w:szCs w:val="16"/>
        </w:rPr>
      </w:pPr>
      <w:r>
        <w:rPr>
          <w:rFonts w:ascii="Arial" w:cs="Arial" w:hAnsi="Arial"/>
          <w:sz w:val="16"/>
          <w:szCs w:val="16"/>
        </w:rPr>
        <w:t>Dudina, M. O., Blinov, D. S., Suslova, I. R., Skachilova, S. Y., Samishina, E. A., Blinova, E. V., . . . Kapitinova, M. Y. (2021). Antitumor activity of aminochromene derivative on the human-derived lung adenocarcinoma xenograft model in BALB/C nu/nu mice. [ÏÐÎÒÈÂÎÎÏÓÕÎËÅÂÎÅ ÄÅÉÑÒÂÈÅ ÏÐÎÈÇÂÎÄÍÎÃÎ ÀÌÈÍÎÕÐÎÌÅÍÀ ÍÀ ÌÎÄÅËÈ ÊÑÅÍÎÃÐÀÔÒÀ ÀÄÅÍÎÊÀÐÖÈÍÎÌÛ ËÅÃÊÎÃÎ Ó ÌÛØÅÉ nu/nu BALB] Eksperimental'Naya i Klinicheskaya Farmakologiya, 84(6), 35-39.</w:t>
      </w:r>
    </w:p>
    <w:p>
      <w:pPr>
        <w:spacing w:line="240" w:lineRule="auto"/>
        <w:ind w:left="360"/>
        <w:jc w:val="both"/>
        <w:rPr>
          <w:rFonts w:ascii="Arial" w:cs="Arial" w:hAnsi="Arial"/>
          <w:sz w:val="16"/>
          <w:szCs w:val="16"/>
        </w:rPr>
      </w:pPr>
      <w:r>
        <w:rPr>
          <w:rFonts w:ascii="Arial" w:cs="Arial" w:hAnsi="Arial"/>
          <w:sz w:val="16"/>
          <w:szCs w:val="16"/>
        </w:rPr>
        <w:t>Vasil’ev Yu.L., Dydykin S.S., Rabinovich S.А., Kytko O.V., M.Yu. Kapitonova, S.P.Gupalo. (2021). Evaluation of effectiveness of the “Local anesthesia” educational module groups of students with varying levels of professional training. Journal of International Dental and Medical Research, 14(1), 257-264.</w:t>
      </w:r>
    </w:p>
    <w:p>
      <w:pPr>
        <w:spacing w:line="240" w:lineRule="auto"/>
        <w:ind w:left="360"/>
        <w:jc w:val="both"/>
        <w:rPr>
          <w:rFonts w:ascii="Arial" w:cs="Arial" w:hAnsi="Arial"/>
          <w:sz w:val="16"/>
          <w:szCs w:val="16"/>
        </w:rPr>
      </w:pPr>
      <w:r>
        <w:rPr>
          <w:rFonts w:ascii="Arial" w:cs="Arial" w:hAnsi="Arial"/>
          <w:sz w:val="16"/>
          <w:szCs w:val="16"/>
        </w:rPr>
        <w:t>M. Kapitonova, S. Gupalo, R. Alyautdin, I.A. Aziz Ibrahim,
N. Salim, A. Ahmad, S.B. Talip, Tin Moe Nwe, S. Morokhina (2021) Gastroprotective effect of Berberis vulgaris on ethanol-induced gastric mucosal injury: Histopathological evaluations, Avicenna Journal of Phytomedicine, VOL.11, NO.3, PF.1-12</w:t>
      </w:r>
    </w:p>
    <w:p>
      <w:pPr>
        <w:spacing w:line="240" w:lineRule="auto"/>
        <w:ind w:left="360"/>
        <w:jc w:val="both"/>
        <w:rPr>
          <w:rFonts w:ascii="Arial" w:cs="Arial" w:hAnsi="Arial"/>
          <w:sz w:val="16"/>
          <w:szCs w:val="16"/>
        </w:rPr>
      </w:pPr>
      <w:r>
        <w:rPr>
          <w:rFonts w:ascii="Arial" w:cs="Arial" w:hAnsi="Arial"/>
          <w:sz w:val="16"/>
          <w:szCs w:val="16"/>
        </w:rPr>
        <w:t>Marina Yu. Kapitonova, Sergey P. Gupalo, Sergey S. Dydykin, Yury L. Vasil’ev, Viktor B. Mandrikov, Sergey V. Klauchek, Olga V. Fedorova (2020) Is it time for transition from the subject-based to the integrated preclinical medical curriculum? Russian open medical journal, No. 9 no.2, pg.eo213</w:t>
      </w:r>
    </w:p>
    <w:p>
      <w:pPr>
        <w:spacing w:line="240" w:lineRule="auto"/>
        <w:ind w:left="360"/>
        <w:jc w:val="both"/>
        <w:rPr>
          <w:rFonts w:ascii="Arial" w:cs="Arial" w:hAnsi="Arial"/>
          <w:sz w:val="16"/>
          <w:szCs w:val="16"/>
        </w:rPr>
      </w:pPr>
      <w:r>
        <w:rPr>
          <w:rFonts w:ascii="Arial" w:cs="Arial" w:hAnsi="Arial"/>
          <w:sz w:val="16"/>
          <w:szCs w:val="16"/>
        </w:rPr>
        <w:t>Vinogradov A.V., Rezaykin A.V., Sazonov S.V., Sergeev A.G. and Kapitonova M.Yu. (2020). Molecular genetic analisys of ASXL1, FLT3, KIT, NPM1, NRAS, TP53 and WT1 mutations in acute myeloid leukemia patients 45-60 years old мОЛЕКуЛЯРНО-ГЕНЕТИчЕСКИЙ АНАЛИЗ муТАцИЙ В ГЕНАХ asXl1, flt3, Kit, npm1, nras, tp53 И Wt1 у БОЛЬНЫХ ОСТРЫмИ мИЕЛОИДНЫмИ ЛЕЙКОЗАмИ ЗРЕЛОГО ВОЗРАСТА. Medical News of North Caucasus, 15(1), 32-36.</w:t>
      </w:r>
    </w:p>
    <w:p>
      <w:pPr>
        <w:spacing w:line="240" w:lineRule="auto"/>
        <w:ind w:left="360"/>
        <w:jc w:val="both"/>
        <w:rPr>
          <w:rFonts w:ascii="Arial" w:cs="Arial" w:hAnsi="Arial"/>
          <w:sz w:val="16"/>
          <w:szCs w:val="16"/>
        </w:rPr>
      </w:pPr>
      <w:r>
        <w:rPr>
          <w:rFonts w:ascii="Arial" w:cs="Arial" w:hAnsi="Arial"/>
          <w:sz w:val="16"/>
          <w:szCs w:val="16"/>
        </w:rPr>
        <w:t>Kapitonova M., Ahmad A., Nor-Ashikin M.N.K., Fuad S.B., uznetsov S.L., Dydykin S.S. (2019) MICROSTRUCTURAL ALTERATIONS IN THE LYMPHOID ORGANS OF THE PERIADOLESCENT RATS AFTER EXPERIMENTAL EXPOSURE TO THE REPEATED AND VARIABLE STRESSORS.Indo American Journal of Pharmaceutical Sciences, vol.6 no. 9 pg.16016-16025</w:t>
      </w:r>
    </w:p>
    <w:p>
      <w:pPr>
        <w:spacing w:line="240" w:lineRule="auto"/>
        <w:ind w:left="360"/>
        <w:jc w:val="both"/>
        <w:rPr>
          <w:rFonts w:ascii="Arial" w:cs="Arial" w:hAnsi="Arial"/>
          <w:sz w:val="16"/>
          <w:szCs w:val="16"/>
        </w:rPr>
      </w:pPr>
      <w:r>
        <w:rPr>
          <w:rFonts w:ascii="Arial" w:cs="Arial" w:hAnsi="Arial"/>
          <w:sz w:val="16"/>
          <w:szCs w:val="16"/>
        </w:rPr>
        <w:t>Marina Kapitonova,Azhar Ahmad, Syed Baharom Syed Ahmad Fuad, Sergey Gupalo, Sergey Lvovich Kuznetsov, Sergey ergeevich Dydykin. (2019) MICROSTRUCTURAL CHANGES IN THE THYROID GLAND OF THE PREWEANING AND WEANING RATS AFTER HETEROTYPIC STRESS. Indo American Journal of Pharmaceutical Sciences, vol.6 no.9, pg.12071-12082</w:t>
      </w:r>
    </w:p>
    <w:p>
      <w:pPr>
        <w:spacing w:line="240" w:lineRule="auto"/>
        <w:ind w:left="360"/>
        <w:jc w:val="both"/>
        <w:rPr>
          <w:rFonts w:ascii="Arial" w:cs="Arial" w:hAnsi="Arial"/>
          <w:sz w:val="16"/>
          <w:szCs w:val="16"/>
        </w:rPr>
      </w:pPr>
      <w:r>
        <w:rPr>
          <w:rFonts w:ascii="Arial" w:cs="Arial" w:hAnsi="Arial"/>
          <w:sz w:val="16"/>
          <w:szCs w:val="16"/>
        </w:rPr>
        <w:t>Vinogradov A.V., Rezaykin A.V., Sazonov S.V., Sergeev A.G. and Kapitonova М.Y. (2019). Mutation lanscape of acute myeloid leukemia in elderly patients. Genes and Cells, 14(4), 19-24.</w:t>
      </w:r>
    </w:p>
    <w:p>
      <w:pPr>
        <w:spacing w:line="240" w:lineRule="auto"/>
        <w:ind w:left="360"/>
        <w:jc w:val="both"/>
        <w:rPr>
          <w:rFonts w:ascii="Arial" w:cs="Arial" w:hAnsi="Arial"/>
          <w:sz w:val="16"/>
          <w:szCs w:val="16"/>
        </w:rPr>
      </w:pPr>
      <w:r>
        <w:rPr>
          <w:rFonts w:ascii="Arial" w:cs="Arial" w:hAnsi="Arial"/>
          <w:sz w:val="16"/>
          <w:szCs w:val="16"/>
        </w:rPr>
        <w:t>Kapitonova MY, Alyautdin RN, Wan-Syazli RWAL, Nor-Ashikin MNK, , ¿hmad A, , Norita S, , Dydykin SS. (2018) APPLICATION OF NANOSCALE POLYMER COLLOID CARRIERS FOR TARGETED DELIVERY OF THE BRAIN-DERIVED NEUROTROPHIC FACTOR THROUGH THE BLOOD-BRAIN BARRIER IN EXPERIMENTAL PARKINSONISM. Bulletin of Russian State Medical University, 2018 no.6, pg.56-59</w:t>
      </w:r>
    </w:p>
    <w:p>
      <w:pPr>
        <w:spacing w:line="240" w:lineRule="auto"/>
        <w:ind w:left="360"/>
        <w:jc w:val="both"/>
        <w:rPr>
          <w:rFonts w:ascii="Arial" w:cs="Arial" w:hAnsi="Arial"/>
          <w:sz w:val="16"/>
          <w:szCs w:val="16"/>
        </w:rPr>
      </w:pPr>
      <w:r>
        <w:rPr>
          <w:rFonts w:ascii="Arial" w:cs="Arial" w:hAnsi="Arial"/>
          <w:sz w:val="16"/>
          <w:szCs w:val="16"/>
        </w:rPr>
        <w:t>Dydykin S.S., Kytko O.V., Vasil’ev Y.L., Shcherbyuk A.N., Kapitonova M.Y.  (2018) Rutrends and prospects of educational and clinical work on the results of the 10th international symposium of clinical and applied anatomy.Indo american journal of pharmaceutical sciences vol.5, no.10, pg.10795-10799.</w:t>
      </w:r>
    </w:p>
    <w:p>
      <w:pPr>
        <w:spacing w:line="240" w:lineRule="auto"/>
        <w:ind w:left="360"/>
        <w:jc w:val="both"/>
        <w:rPr>
          <w:rFonts w:ascii="Arial" w:cs="Arial" w:hAnsi="Arial"/>
          <w:sz w:val="16"/>
          <w:szCs w:val="16"/>
        </w:rPr>
      </w:pPr>
      <w:r>
        <w:rPr>
          <w:rFonts w:ascii="Arial" w:cs="Arial" w:hAnsi="Arial"/>
          <w:sz w:val="16"/>
          <w:szCs w:val="16"/>
        </w:rPr>
        <w:t>Razlan A.N.B., Ullah M., Kapitonova M.Y., Liaqat Ali Khan N.B. and Fuad S.B.S.A. (2018). Localization of the motor neuron somata of geniohyoid muscle in rat: A horseradish peroxidase study. Journal of Veterinary Medicine Series C: Anatomia Histologia Embryologia, 47(5), 410-416.</w:t>
      </w:r>
    </w:p>
    <w:p>
      <w:pPr>
        <w:spacing w:line="240" w:lineRule="auto"/>
        <w:ind w:left="360"/>
        <w:jc w:val="both"/>
        <w:rPr>
          <w:rFonts w:ascii="Arial" w:cs="Arial" w:hAnsi="Arial"/>
          <w:sz w:val="16"/>
          <w:szCs w:val="16"/>
        </w:rPr>
      </w:pPr>
      <w:r>
        <w:rPr>
          <w:rFonts w:ascii="Arial" w:cs="Arial" w:hAnsi="Arial"/>
          <w:sz w:val="16"/>
          <w:szCs w:val="16"/>
        </w:rPr>
        <w:t>Razlan AN, Ullah M, Liaqat AKN, Fuad SB, Kapitonova M. Distribution of the perikaryons of the motor neurons of geniohyoid muscle in rats and Kapitonova M. (2018). 26th ISMS (International Symposium on Morphological Sciences) - Book of Abstracts, P.63.</w:t>
      </w:r>
    </w:p>
    <w:p>
      <w:pPr>
        <w:spacing w:line="240" w:lineRule="auto"/>
        <w:ind w:left="360"/>
        <w:jc w:val="both"/>
        <w:rPr>
          <w:rFonts w:ascii="Arial" w:cs="Arial" w:hAnsi="Arial"/>
          <w:sz w:val="16"/>
          <w:szCs w:val="16"/>
        </w:rPr>
      </w:pPr>
      <w:r>
        <w:rPr>
          <w:rFonts w:ascii="Arial" w:cs="Arial" w:hAnsi="Arial"/>
          <w:sz w:val="16"/>
          <w:szCs w:val="16"/>
        </w:rPr>
        <w:t>Singh S., Agarwal R., Razak Z.A., Ngu R., Nyein L.L., Vasudevan S., Kapitonova M., Kadir A.J. and Visvaraja S. (2018). Ocular permeation of topical tazocin and its effectiveness in the treatment of pseudomonas aeruginosa induced keratitis in rabbits. Journal of Ocular Pharmacology and Therapeutics, 34(1-2), 214-223.</w:t>
      </w:r>
    </w:p>
    <w:p>
      <w:pPr>
        <w:spacing w:line="240" w:lineRule="auto"/>
        <w:ind w:left="360"/>
        <w:jc w:val="both"/>
        <w:rPr>
          <w:rFonts w:ascii="Arial" w:cs="Arial" w:hAnsi="Arial"/>
          <w:sz w:val="16"/>
          <w:szCs w:val="16"/>
        </w:rPr>
      </w:pPr>
      <w:r>
        <w:rPr>
          <w:rFonts w:ascii="Arial" w:cs="Arial" w:hAnsi="Arial"/>
          <w:sz w:val="16"/>
          <w:szCs w:val="16"/>
        </w:rPr>
        <w:t>Kapitonova M.Yu., Alyautdin R.N., Wan-Syazli R.W.A.L., Nor-Ashikin M.N.K., Ahmad A., Norita S. and Dydykin S.S. (2018). Application of nanoscale polymer colloid carriers for targeted delivery of the brain-derived neurotrophic factor through the blood-brain barrier in experimental parkinsonism. Bulletin of Russian State Medical University, 7(6), 107-112.</w:t>
      </w:r>
    </w:p>
    <w:p>
      <w:pPr>
        <w:spacing w:line="240" w:lineRule="auto"/>
        <w:ind w:left="360"/>
        <w:jc w:val="both"/>
        <w:rPr>
          <w:rFonts w:ascii="Arial" w:cs="Arial" w:hAnsi="Arial"/>
          <w:sz w:val="16"/>
          <w:szCs w:val="16"/>
        </w:rPr>
      </w:pPr>
      <w:r>
        <w:rPr>
          <w:rFonts w:ascii="Arial" w:cs="Arial" w:hAnsi="Arial"/>
          <w:sz w:val="16"/>
          <w:szCs w:val="16"/>
        </w:rPr>
        <w:t>A.N. S., S.S. D., K.A. Z., V.A. G., M.H. B. and M.Y. K. (2017). Transient Multiple Removal and Subsequent Reimplantation of Abdominal and Retroperitoneal Organs with Multisystemic Neoplastic Lesions. Sovremennye tehnologii v medicine, 9(4), 78-81.</w:t>
      </w:r>
    </w:p>
    <w:p>
      <w:pPr>
        <w:spacing w:line="240" w:lineRule="auto"/>
        <w:ind w:left="360"/>
        <w:jc w:val="both"/>
        <w:rPr>
          <w:rFonts w:ascii="Arial" w:cs="Arial" w:hAnsi="Arial"/>
          <w:sz w:val="16"/>
          <w:szCs w:val="16"/>
        </w:rPr>
      </w:pPr>
      <w:r>
        <w:rPr>
          <w:rFonts w:ascii="Arial" w:cs="Arial" w:hAnsi="Arial"/>
          <w:sz w:val="16"/>
          <w:szCs w:val="16"/>
        </w:rPr>
        <w:t>Razali N., Agarwal R., Agarwal P., Tripathy M., Kapitonova M.Y., Kutty M.K., Smirnov A., Khalid Z. and Ismail N.M. (2016). Topical trans-resveratrol ameliorates steroid-induced anterior and posterior segment changes in rats. Experimental Eye Research, 143(1), 9-16.</w:t>
      </w:r>
    </w:p>
    <w:p>
      <w:pPr>
        <w:spacing w:line="240" w:lineRule="auto"/>
        <w:ind w:left="360"/>
        <w:jc w:val="both"/>
        <w:rPr>
          <w:rFonts w:ascii="Arial" w:cs="Arial" w:hAnsi="Arial"/>
          <w:sz w:val="16"/>
          <w:szCs w:val="16"/>
        </w:rPr>
      </w:pPr>
      <w:r>
        <w:rPr>
          <w:rFonts w:ascii="Arial" w:cs="Arial" w:hAnsi="Arial"/>
          <w:sz w:val="16"/>
          <w:szCs w:val="16"/>
        </w:rPr>
        <w:t>Khlebnikov V.V., Kuznetsov S.L., Chernov D.A., Agrytskov A.M., Ahmad A., Nor-Ashikin M.N.K., Ullah M. and Kapitonova M.Y. (2016). Developmental Characteristics of the Hypothalamo-Hypophyseal-Adrenal System in Chronic Heterotypical Stress. Neuroscience and Behavioral Physiology, 46(1), 100-105.</w:t>
      </w:r>
    </w:p>
    <w:p>
      <w:pPr>
        <w:spacing w:line="240" w:lineRule="auto"/>
        <w:ind w:left="360"/>
        <w:jc w:val="both"/>
        <w:rPr>
          <w:rFonts w:ascii="Arial" w:cs="Arial" w:hAnsi="Arial"/>
          <w:sz w:val="16"/>
          <w:szCs w:val="16"/>
        </w:rPr>
      </w:pPr>
      <w:r>
        <w:rPr>
          <w:rFonts w:ascii="Arial" w:cs="Arial" w:hAnsi="Arial"/>
          <w:sz w:val="16"/>
          <w:szCs w:val="16"/>
        </w:rPr>
        <w:t>Razali N., Agarwal R., Agarwal P., Kapitonova M.Y., Kannan Kutty M., Smirnov A., Salmah Bakar N. and Ismail N.M. (2015). Anterior and posterior segment changes in rat eyes with chronic steroid administration and their responsiveness to antiglaucoma drugs. European Journal of Pharmacology, 749(1), 73-80.</w:t>
      </w:r>
    </w:p>
    <w:p>
      <w:pPr>
        <w:spacing w:line="240" w:lineRule="auto"/>
        <w:ind w:left="360"/>
        <w:jc w:val="both"/>
        <w:rPr>
          <w:rFonts w:ascii="Arial" w:cs="Arial" w:hAnsi="Arial"/>
          <w:sz w:val="16"/>
          <w:szCs w:val="16"/>
        </w:rPr>
      </w:pPr>
      <w:r>
        <w:rPr>
          <w:rFonts w:ascii="Arial" w:cs="Arial" w:hAnsi="Arial"/>
          <w:sz w:val="16"/>
          <w:szCs w:val="16"/>
        </w:rPr>
        <w:t>Dydykin S. and Kapitonova M. (2015). The role of student surgical interest groups and surgical Olympiads in anatomical and surgical undergraduate training in Russia. Anatomical Sciences Education, 8(5), 471-477.</w:t>
      </w:r>
    </w:p>
    <w:p>
      <w:pPr>
        <w:spacing w:line="240" w:lineRule="auto"/>
        <w:ind w:left="360"/>
        <w:jc w:val="both"/>
        <w:rPr>
          <w:rFonts w:ascii="Arial" w:cs="Arial" w:hAnsi="Arial"/>
          <w:sz w:val="16"/>
          <w:szCs w:val="16"/>
        </w:rPr>
      </w:pPr>
      <w:r>
        <w:rPr>
          <w:rFonts w:ascii="Arial" w:cs="Arial" w:hAnsi="Arial"/>
          <w:sz w:val="16"/>
          <w:szCs w:val="16"/>
        </w:rPr>
        <w:t>Hlebnikov V.V., Kuznesov S.L., Chernov D.A., Agryskov A.M., Ahmad A., Nor-Ashikin M.N., Ullah M. and Kapitonova M.Y. (2015). Age-related peculiarities of the hypothalamo-hypophyseo-adrenal system in chronic heterotypic stress. Morfologii¿a (Saint Petersburg, Russia), 147(1), 15-20.</w:t>
      </w:r>
    </w:p>
    <w:p>
      <w:pPr>
        <w:spacing w:line="240" w:lineRule="auto"/>
        <w:ind w:left="360"/>
        <w:jc w:val="both"/>
        <w:rPr>
          <w:rFonts w:ascii="Arial" w:cs="Arial" w:hAnsi="Arial"/>
          <w:sz w:val="16"/>
          <w:szCs w:val="16"/>
        </w:rPr>
      </w:pPr>
      <w:r>
        <w:rPr>
          <w:rFonts w:ascii="Arial" w:cs="Arial" w:hAnsi="Arial"/>
          <w:sz w:val="16"/>
          <w:szCs w:val="16"/>
        </w:rPr>
        <w:t>Aisha M.D., Nor-Ashikin M.N.K., Sharaniza A.B., Nawawi H.M., Kapitonova M.Y. and Froemming G.R.A. (2014). Short-term moderate hypothermia stimulates alkaline phosphatase activity and osteocalcin expression in osteoblasts by upregulating Runx2 and osterix in vitro. Experimental Cell Research, 326(1), 46-56.</w:t>
      </w:r>
    </w:p>
    <w:p>
      <w:pPr>
        <w:spacing w:line="240" w:lineRule="auto"/>
        <w:ind w:left="360"/>
        <w:jc w:val="both"/>
        <w:rPr>
          <w:rFonts w:ascii="Arial" w:cs="Arial" w:hAnsi="Arial"/>
          <w:sz w:val="16"/>
          <w:szCs w:val="16"/>
        </w:rPr>
      </w:pPr>
      <w:r>
        <w:rPr>
          <w:rFonts w:ascii="Arial" w:cs="Arial" w:hAnsi="Arial"/>
          <w:sz w:val="16"/>
          <w:szCs w:val="16"/>
        </w:rPr>
        <w:t>Kapitonova M.Yu., Kuznetsov S.L., Salim N., Othman S., Kamauzaman T.M.H.T.M., Ali A.M., Nawawi H.M., Nor-Ashikin M.N.K. and Froemming G.R.A. (2014). Morphological and phenotypical characteristics of human osteoblasts after short-term space mission. Bulletin of Experimental Biology and Medicine, 156(3), 393-398.</w:t>
      </w:r>
    </w:p>
    <w:p>
      <w:pPr>
        <w:spacing w:line="240" w:lineRule="auto"/>
        <w:ind w:left="360"/>
        <w:jc w:val="both"/>
        <w:rPr>
          <w:rFonts w:ascii="Arial" w:cs="Arial" w:hAnsi="Arial"/>
          <w:sz w:val="16"/>
          <w:szCs w:val="16"/>
        </w:rPr>
      </w:pPr>
      <w:r>
        <w:rPr>
          <w:rFonts w:ascii="Arial" w:cs="Arial" w:hAnsi="Arial"/>
          <w:sz w:val="16"/>
          <w:szCs w:val="16"/>
        </w:rPr>
        <w:t>Kapitonova M.Y., Salim N., Othman S., Muhd Kamauzaman T.M.H.T., Ali A.M., Nawawi H.M. and Froemming G.R.A. (2013). Alteration of cell cytoskeleton and functions of cell recovery of normal human osteoblast cells caused by factors associated with real space flight. Malaysian Journal of Pathology, 35(2), 153-163.</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 Amirah Diyana Binti Razlan, MBR, Nanoparticulate Brain-derived Neurotrophic Factor (bdnf) As a Potential Antideressant Via Neuroendocrine Mechanisms In Experimental Model Of Depression, 2025, Completed, Main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Thesis, Nervous and Endocrine System, Digestive and Endocrine Systems , Blood, Lymphatic, Cardiovascular and Respiratory Systems , Nervous and Endocrine System, Digestive, Musculoskeletal and Integumentary System, Basic Medical Sciences, Nervous System and Behaviour, Musculoskeletal System, Endocrine, Metabolism and Nutrition, Respiratory, Cardiovascular and Lymphatic, Nervous and Musculoskeletal System , Fundamentals of Medical Sciences and Genetics, Renal and Reproductive Systems  , Basic Medical Science, Reproductive Systems and Genetics, Digestive and Musculo-Skeletal System, Reproductive System and Genetic</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