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Mr Ezra Alfandy M Duin</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Applied and Creative Arts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082-581411</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mdealfandy@unimas.my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Master of Arts, Music Composition, Universiti Malaysia Sarawak, 2019</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Applied Arts (Hons), Music, Universiti Malaysia Sarawak, 2014</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Manifestasi Akal Budi, Kognitif dan Falsafah dalam filem-filem Klasik Malaysia: Analisis Semantik Inkuisitif dan Teori Relevans., Co-Researcher, 2021-2023, P.RAMLEE RESEARCH CHAIR</w:t>
      </w:r>
    </w:p>
    <w:p>
      <w:pPr>
        <w:spacing w:line="240" w:lineRule="auto"/>
        <w:ind w:left="360"/>
        <w:jc w:val="both"/>
        <w:rPr>
          <w:rFonts w:ascii="Arial" w:cs="Arial" w:hAnsi="Arial"/>
          <w:sz w:val="16"/>
          <w:szCs w:val="16"/>
        </w:rPr>
      </w:pPr>
      <w:r>
        <w:rPr>
          <w:rFonts w:ascii="Arial" w:cs="Arial" w:hAnsi="Arial"/>
          <w:sz w:val="16"/>
          <w:szCs w:val="16"/>
        </w:rPr>
        <w:t>Malay Intangible Heritage in Sarawak :  A Cultural Heritage to Safeguard for Youth Generations in Sarawak., Co-Researcher, 2021-2023, P.RAMLEE RESEARCH CHAIR</w:t>
      </w:r>
    </w:p>
    <w:p>
      <w:pPr>
        <w:spacing w:line="240" w:lineRule="auto"/>
        <w:ind w:left="360"/>
        <w:jc w:val="both"/>
        <w:rPr>
          <w:rFonts w:ascii="Arial" w:cs="Arial" w:hAnsi="Arial"/>
          <w:sz w:val="16"/>
          <w:szCs w:val="16"/>
        </w:rPr>
      </w:pPr>
      <w:r>
        <w:rPr>
          <w:rFonts w:ascii="Arial" w:cs="Arial" w:hAnsi="Arial"/>
          <w:sz w:val="16"/>
          <w:szCs w:val="16"/>
        </w:rPr>
        <w:t>Willingness to share Malay cultural heritage towards the Sarawak Museum Collection, Co-Researcher, 2021-2023, P.RAMLEE RESEARCH CHAIR</w:t>
      </w:r>
    </w:p>
    <w:p>
      <w:pPr>
        <w:spacing w:line="240" w:lineRule="auto"/>
        <w:ind w:left="360"/>
        <w:jc w:val="both"/>
        <w:rPr>
          <w:rFonts w:ascii="Arial" w:cs="Arial" w:hAnsi="Arial"/>
          <w:sz w:val="16"/>
          <w:szCs w:val="16"/>
        </w:rPr>
      </w:pPr>
      <w:r>
        <w:rPr>
          <w:rFonts w:ascii="Arial" w:cs="Arial" w:hAnsi="Arial"/>
          <w:sz w:val="16"/>
          <w:szCs w:val="16"/>
        </w:rPr>
        <w:t>Muzik Tradisional Melayu Sarawak: Eksplorasi Seni Persembahan Muzik, Head / Project Leader, 2021-2023, P.RAMLEE RESEARCH CHAIR</w:t>
      </w:r>
    </w:p>
    <w:p>
      <w:pPr>
        <w:spacing w:line="240" w:lineRule="auto"/>
        <w:ind w:left="360"/>
        <w:jc w:val="both"/>
        <w:rPr>
          <w:rFonts w:ascii="Arial" w:cs="Arial" w:hAnsi="Arial"/>
          <w:sz w:val="16"/>
          <w:szCs w:val="16"/>
        </w:rPr>
      </w:pPr>
      <w:r>
        <w:rPr>
          <w:rFonts w:ascii="Arial" w:cs="Arial" w:hAnsi="Arial"/>
          <w:sz w:val="16"/>
          <w:szCs w:val="16"/>
        </w:rPr>
        <w:t>Pelestarian Identiti Seni Muzik Tradisional Kaum Berawan di Tutoh, Baram Miri, Co-Researcher, 2022-2024, P.RAMLEE RESEARCH CHAIR</w:t>
      </w:r>
    </w:p>
    <w:p>
      <w:pPr>
        <w:spacing w:line="240" w:lineRule="auto"/>
        <w:ind w:left="360"/>
        <w:jc w:val="both"/>
        <w:rPr>
          <w:rFonts w:ascii="Arial" w:cs="Arial" w:hAnsi="Arial"/>
          <w:sz w:val="16"/>
          <w:szCs w:val="16"/>
        </w:rPr>
      </w:pPr>
      <w:r>
        <w:rPr>
          <w:rFonts w:ascii="Arial" w:cs="Arial" w:hAnsi="Arial"/>
          <w:sz w:val="16"/>
          <w:szCs w:val="16"/>
        </w:rPr>
        <w:t>Celebrate with Us Cluster: A Preliminary Study for Malay Heritage Museum at Darul Hana, Co-Researcher, 2022-2023, UHSB (Industrial Grant)</w:t>
      </w:r>
    </w:p>
    <w:p>
      <w:pPr>
        <w:spacing w:line="240" w:lineRule="auto"/>
        <w:ind w:left="360"/>
        <w:jc w:val="both"/>
        <w:rPr>
          <w:rFonts w:ascii="Arial" w:cs="Arial" w:hAnsi="Arial"/>
          <w:sz w:val="16"/>
          <w:szCs w:val="16"/>
        </w:rPr>
      </w:pPr>
      <w:r>
        <w:rPr>
          <w:rFonts w:ascii="Arial" w:cs="Arial" w:hAnsi="Arial"/>
          <w:sz w:val="16"/>
          <w:szCs w:val="16"/>
        </w:rPr>
        <w:t>Eat and Play with Us Cluster: A Preliminary Study for Malay Heritage Museum at Darul Hana, Co-Researcher, 2022-2023, UHSB (Industrial Grant)</w:t>
      </w:r>
    </w:p>
    <w:p>
      <w:pPr>
        <w:spacing w:line="240" w:lineRule="auto"/>
        <w:ind w:left="360"/>
        <w:jc w:val="both"/>
        <w:rPr>
          <w:rFonts w:ascii="Arial" w:cs="Arial" w:hAnsi="Arial"/>
          <w:sz w:val="16"/>
          <w:szCs w:val="16"/>
        </w:rPr>
      </w:pPr>
      <w:r>
        <w:rPr>
          <w:rFonts w:ascii="Arial" w:cs="Arial" w:hAnsi="Arial"/>
          <w:sz w:val="16"/>
          <w:szCs w:val="16"/>
        </w:rPr>
        <w:t>Hear Us Cluster: A Preliminary Study for Malay Heritage Museum at Darul Hana, Co-Researcher, 2022-2023, UHSB (Industrial Grant)</w:t>
      </w:r>
    </w:p>
    <w:p>
      <w:pPr>
        <w:spacing w:line="240" w:lineRule="auto"/>
        <w:ind w:left="360"/>
        <w:jc w:val="both"/>
        <w:rPr>
          <w:rFonts w:ascii="Arial" w:cs="Arial" w:hAnsi="Arial"/>
          <w:sz w:val="16"/>
          <w:szCs w:val="16"/>
        </w:rPr>
      </w:pPr>
      <w:r>
        <w:rPr>
          <w:rFonts w:ascii="Arial" w:cs="Arial" w:hAnsi="Arial"/>
          <w:sz w:val="16"/>
          <w:szCs w:val="16"/>
        </w:rPr>
        <w:t>Meet Our Families Cluster: A Preliminary Study for Malay Heritage Museum at Darul Hana, Co-Researcher, 2022-2023, UHSB (Industrial Grant)</w:t>
      </w:r>
    </w:p>
    <w:p>
      <w:pPr>
        <w:spacing w:line="240" w:lineRule="auto"/>
        <w:ind w:left="360"/>
        <w:jc w:val="both"/>
        <w:rPr>
          <w:rFonts w:ascii="Arial" w:cs="Arial" w:hAnsi="Arial"/>
          <w:sz w:val="16"/>
          <w:szCs w:val="16"/>
        </w:rPr>
      </w:pPr>
      <w:r>
        <w:rPr>
          <w:rFonts w:ascii="Arial" w:cs="Arial" w:hAnsi="Arial"/>
          <w:sz w:val="16"/>
          <w:szCs w:val="16"/>
        </w:rPr>
        <w:t>Our Homes and Treasures Cluster: A Preliminary Study for Malay Heritage Museum at Darul Hana, Co-Researcher, 2022-2023, UHSB (Industrial Grant)</w:t>
      </w:r>
    </w:p>
    <w:p>
      <w:pPr>
        <w:spacing w:line="240" w:lineRule="auto"/>
        <w:ind w:left="360"/>
        <w:jc w:val="both"/>
        <w:rPr>
          <w:rFonts w:ascii="Arial" w:cs="Arial" w:hAnsi="Arial"/>
          <w:sz w:val="16"/>
          <w:szCs w:val="16"/>
        </w:rPr>
      </w:pPr>
      <w:r>
        <w:rPr>
          <w:rFonts w:ascii="Arial" w:cs="Arial" w:hAnsi="Arial"/>
          <w:sz w:val="16"/>
          <w:szCs w:val="16"/>
        </w:rPr>
        <w:t>Santubong Content Creation, Co-Researcher, 2023-2024, External Grant</w:t>
      </w:r>
    </w:p>
    <w:p>
      <w:pPr>
        <w:spacing w:line="240" w:lineRule="auto"/>
        <w:ind w:left="360"/>
        <w:jc w:val="both"/>
        <w:rPr>
          <w:rFonts w:ascii="Arial" w:cs="Arial" w:hAnsi="Arial"/>
          <w:sz w:val="16"/>
          <w:szCs w:val="16"/>
        </w:rPr>
      </w:pPr>
      <w:r>
        <w:rPr>
          <w:rFonts w:ascii="Arial" w:cs="Arial" w:hAnsi="Arial"/>
          <w:sz w:val="16"/>
          <w:szCs w:val="16"/>
        </w:rPr>
        <w:t>ETHNOMUSICOLOGY STUDY OF THE LENGILO PEOPLE OF SARAWAK, Co-Researcher, 2023-2026, Design</w:t>
      </w:r>
    </w:p>
    <w:p>
      <w:pPr>
        <w:spacing w:line="240" w:lineRule="auto"/>
        <w:ind w:left="360"/>
        <w:jc w:val="both"/>
        <w:rPr>
          <w:rFonts w:ascii="Arial" w:cs="Arial" w:hAnsi="Arial"/>
          <w:sz w:val="16"/>
          <w:szCs w:val="16"/>
        </w:rPr>
      </w:pPr>
      <w:r>
        <w:rPr>
          <w:rFonts w:ascii="Arial" w:cs="Arial" w:hAnsi="Arial"/>
          <w:sz w:val="16"/>
          <w:szCs w:val="16"/>
        </w:rPr>
        <w:t>From the Silver Screen to the Concert Hall: Developing a Framework on P. Ramlee Songs for Western Classical Audience, Co-Researcher, 2025-2027, P.RAMLEE RESEARCH CHAIR</w:t>
      </w:r>
    </w:p>
    <w:p>
      <w:pPr>
        <w:spacing w:line="240" w:lineRule="auto"/>
        <w:ind w:left="360"/>
        <w:jc w:val="both"/>
        <w:rPr>
          <w:rFonts w:ascii="Arial" w:cs="Arial" w:hAnsi="Arial"/>
          <w:sz w:val="16"/>
          <w:szCs w:val="16"/>
        </w:rPr>
      </w:pPr>
      <w:r>
        <w:rPr>
          <w:rFonts w:ascii="Arial" w:cs="Arial" w:hAnsi="Arial"/>
          <w:sz w:val="16"/>
          <w:szCs w:val="16"/>
        </w:rPr>
        <w:t>Deconstruction of Sarawak’s Indigenous Culture: Contemporary Art Practices for Identity and Sustainable Heritage, Co-Researcher (Next Appointed Leader), 2025-2027, P.RAMLEE RESEARCH CHAIR</w:t>
      </w:r>
    </w:p>
    <w:p>
      <w:pPr>
        <w:spacing w:line="240" w:lineRule="auto"/>
        <w:ind w:left="360"/>
        <w:jc w:val="both"/>
        <w:rPr>
          <w:rFonts w:ascii="Arial" w:cs="Arial" w:hAnsi="Arial"/>
          <w:sz w:val="16"/>
          <w:szCs w:val="16"/>
        </w:rPr>
      </w:pPr>
      <w:r>
        <w:rPr>
          <w:rFonts w:ascii="Arial" w:cs="Arial" w:hAnsi="Arial"/>
          <w:sz w:val="16"/>
          <w:szCs w:val="16"/>
        </w:rPr>
        <w:t>Exploring the Role of Intrinsic Motivation in Music Performance Anxiety Among String Music Students in Kuching, Sarawak, Co-Researcher, 2025-2027, P.RAMLEE RESEARCH CHAIR</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Pementasan "Devised Theatre Belia: Road To 2030", Kementerian Belia dan Sukan Sarawak, Project Manager, 2021 - 2021, National</w:t>
      </w:r>
    </w:p>
    <w:p>
      <w:pPr>
        <w:spacing w:line="240" w:lineRule="auto"/>
        <w:ind w:left="360"/>
        <w:jc w:val="both"/>
        <w:rPr>
          <w:rFonts w:ascii="Arial" w:cs="Arial" w:hAnsi="Arial"/>
          <w:sz w:val="16"/>
          <w:szCs w:val="16"/>
        </w:rPr>
      </w:pPr>
      <w:r>
        <w:rPr>
          <w:rFonts w:ascii="Arial" w:cs="Arial" w:hAnsi="Arial"/>
          <w:sz w:val="16"/>
          <w:szCs w:val="16"/>
        </w:rPr>
        <w:t>18th Mini Film Festival x Mini Arts Festival (14-17 July 2022), Majlis Seni Sarawak, Project Manager, 2022 - 2022, National</w:t>
      </w:r>
    </w:p>
    <w:p>
      <w:pPr>
        <w:spacing w:line="240" w:lineRule="auto"/>
        <w:ind w:left="360"/>
        <w:jc w:val="both"/>
        <w:rPr>
          <w:rFonts w:ascii="Arial" w:cs="Arial" w:hAnsi="Arial"/>
          <w:sz w:val="16"/>
          <w:szCs w:val="16"/>
        </w:rPr>
      </w:pPr>
      <w:r>
        <w:rPr>
          <w:rFonts w:ascii="Arial" w:cs="Arial" w:hAnsi="Arial"/>
          <w:sz w:val="16"/>
          <w:szCs w:val="16"/>
        </w:rPr>
        <w:t>18th Mini Film Festival x Mini Arts Festival, Ministry of Tourism, Creative Industry and Performing Arts Sarawak, Project Manager, 2022 - 2022, National</w:t>
      </w:r>
    </w:p>
    <w:p>
      <w:pPr>
        <w:spacing w:line="240" w:lineRule="auto"/>
        <w:ind w:left="360"/>
        <w:jc w:val="both"/>
        <w:rPr>
          <w:rFonts w:ascii="Arial" w:cs="Arial" w:hAnsi="Arial"/>
          <w:sz w:val="16"/>
          <w:szCs w:val="16"/>
        </w:rPr>
      </w:pPr>
      <w:r>
        <w:rPr>
          <w:rFonts w:ascii="Arial" w:cs="Arial" w:hAnsi="Arial"/>
          <w:sz w:val="16"/>
          <w:szCs w:val="16"/>
        </w:rPr>
        <w:t>19th Mini Film Festival x Mini Arts Festival on 06-09 July 2023 at La Promenade Mall, Japan Foundation KL &amp; Quickcon Specialists, Project Manager, 2023 - 2023, National</w:t>
      </w:r>
    </w:p>
    <w:p>
      <w:pPr>
        <w:spacing w:line="240" w:lineRule="auto"/>
        <w:ind w:left="360"/>
        <w:jc w:val="both"/>
        <w:rPr>
          <w:rFonts w:ascii="Arial" w:cs="Arial" w:hAnsi="Arial"/>
          <w:sz w:val="16"/>
          <w:szCs w:val="16"/>
        </w:rPr>
      </w:pPr>
      <w:r>
        <w:rPr>
          <w:rFonts w:ascii="Arial" w:cs="Arial" w:hAnsi="Arial"/>
          <w:sz w:val="16"/>
          <w:szCs w:val="16"/>
        </w:rPr>
        <w:t>Program Mini Film Festival x Mini Arts Festival, Majlis Seni Sarawak, Project Manager, 2024 - 2024,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Sinin, A. E., Hamdan, S., M Duin, E. A., Mohamad Said, K. A., &amp; Musib, A. F. (2025). The Taishōgoto: A Japanese Stringed Musical Instrument of Nagoya. BioResources, 21(1), 606–620.</w:t>
      </w:r>
    </w:p>
    <w:p>
      <w:pPr>
        <w:spacing w:line="240" w:lineRule="auto"/>
        <w:ind w:left="360"/>
        <w:jc w:val="both"/>
        <w:rPr>
          <w:rFonts w:ascii="Arial" w:cs="Arial" w:hAnsi="Arial"/>
          <w:sz w:val="16"/>
          <w:szCs w:val="16"/>
        </w:rPr>
      </w:pPr>
      <w:r>
        <w:rPr>
          <w:rFonts w:ascii="Arial" w:cs="Arial" w:hAnsi="Arial"/>
          <w:sz w:val="16"/>
          <w:szCs w:val="16"/>
        </w:rPr>
        <w:t>Hamdan, S., Sinin, A. E., M. Duin, E. A., Mohamad Said, K. A., Ab Razak, M. S., and Musib, A. F. (2025). "Phin: A lute of the Isan region of Thailand," BioResources 20(4), 9699–9719.</w:t>
      </w:r>
    </w:p>
    <w:p>
      <w:pPr>
        <w:spacing w:line="240" w:lineRule="auto"/>
        <w:ind w:left="360"/>
        <w:jc w:val="both"/>
        <w:rPr>
          <w:rFonts w:ascii="Arial" w:cs="Arial" w:hAnsi="Arial"/>
          <w:sz w:val="16"/>
          <w:szCs w:val="16"/>
        </w:rPr>
      </w:pPr>
      <w:r>
        <w:rPr>
          <w:rFonts w:ascii="Arial" w:cs="Arial" w:hAnsi="Arial"/>
          <w:sz w:val="16"/>
          <w:szCs w:val="16"/>
        </w:rPr>
        <w:t>Musib, A. F., Sinin, A. E., Hamdan, S., Mohamad Said, K. A., and M. Duin, E. A. (2025). "The Khene: A Lao mouth organ of the Isan region of Thailand," BioResources 20(4), 9312–9331.</w:t>
      </w:r>
    </w:p>
    <w:p>
      <w:pPr>
        <w:spacing w:line="240" w:lineRule="auto"/>
        <w:ind w:left="360"/>
        <w:jc w:val="both"/>
        <w:rPr>
          <w:rFonts w:ascii="Arial" w:cs="Arial" w:hAnsi="Arial"/>
          <w:sz w:val="16"/>
          <w:szCs w:val="16"/>
        </w:rPr>
      </w:pPr>
      <w:r>
        <w:rPr>
          <w:rFonts w:ascii="Arial" w:cs="Arial" w:hAnsi="Arial"/>
          <w:sz w:val="16"/>
          <w:szCs w:val="16"/>
        </w:rPr>
        <w:t>M. Duin, E. A., Hamdan, S., Mohamad Said, K. A., Sinin, A. E., Musib, A. F., and Sosiati , H. (2025). "The ‘Nirai’ guitar (‘Ichigo ichie’) of Okinawa Japan," BioResources 20(2), 2643–2655.</w:t>
      </w:r>
    </w:p>
    <w:p>
      <w:pPr>
        <w:spacing w:line="240" w:lineRule="auto"/>
        <w:ind w:left="360"/>
        <w:jc w:val="both"/>
        <w:rPr>
          <w:rFonts w:ascii="Arial" w:cs="Arial" w:hAnsi="Arial"/>
          <w:sz w:val="16"/>
          <w:szCs w:val="16"/>
        </w:rPr>
      </w:pPr>
      <w:r>
        <w:rPr>
          <w:rFonts w:ascii="Arial" w:cs="Arial" w:hAnsi="Arial"/>
          <w:sz w:val="16"/>
          <w:szCs w:val="16"/>
        </w:rPr>
        <w:t>Hamdan, S., Mohamad Said, K. A., Kipli, K., Duin, E. A. M., &amp; Sinin, A. E. (2024). The Tongkungon: A Traditional KadazanDusun Plucked Musical Instrument from Sabah, Malaysia. BioResources, 20(1), 357–367.</w:t>
      </w:r>
    </w:p>
    <w:p>
      <w:pPr>
        <w:spacing w:line="240" w:lineRule="auto"/>
        <w:ind w:left="360"/>
        <w:jc w:val="both"/>
        <w:rPr>
          <w:rFonts w:ascii="Arial" w:cs="Arial" w:hAnsi="Arial"/>
          <w:sz w:val="16"/>
          <w:szCs w:val="16"/>
        </w:rPr>
      </w:pPr>
      <w:r>
        <w:rPr>
          <w:rFonts w:ascii="Arial" w:cs="Arial" w:hAnsi="Arial"/>
          <w:sz w:val="16"/>
          <w:szCs w:val="16"/>
        </w:rPr>
        <w:t>Duin E.M.A., Hamdan S., Said K.A.M., Sinin A.E., Musib A.F. and Sosiati H. (2025). The ‘Nirai’ Guitar (‘Ichigo ichie’) of Okinawa Japan. BioResources, 20(2), 2643-2655.</w:t>
      </w:r>
    </w:p>
    <w:p>
      <w:pPr>
        <w:spacing w:line="240" w:lineRule="auto"/>
        <w:ind w:left="360"/>
        <w:jc w:val="both"/>
        <w:rPr>
          <w:rFonts w:ascii="Arial" w:cs="Arial" w:hAnsi="Arial"/>
          <w:sz w:val="16"/>
          <w:szCs w:val="16"/>
        </w:rPr>
      </w:pPr>
      <w:r>
        <w:rPr>
          <w:rFonts w:ascii="Arial" w:cs="Arial" w:hAnsi="Arial"/>
          <w:sz w:val="16"/>
          <w:szCs w:val="16"/>
        </w:rPr>
        <w:t>Duin E.M.A., Hamdan S., Said K.A.M., Kipli K., Sinin A.E. and Musib A.F. (2025). Togunggak: Traditional Music of Kadazandusun. BioResources, 20(4), 9753-9767.</w:t>
      </w:r>
    </w:p>
    <w:p>
      <w:pPr>
        <w:spacing w:line="240" w:lineRule="auto"/>
        <w:ind w:left="360"/>
        <w:jc w:val="both"/>
        <w:rPr>
          <w:rFonts w:ascii="Arial" w:cs="Arial" w:hAnsi="Arial"/>
          <w:sz w:val="16"/>
          <w:szCs w:val="16"/>
        </w:rPr>
      </w:pPr>
      <w:r>
        <w:rPr>
          <w:rFonts w:ascii="Arial" w:cs="Arial" w:hAnsi="Arial"/>
          <w:sz w:val="16"/>
          <w:szCs w:val="16"/>
        </w:rPr>
        <w:t>Duin E.M.A., Hamdan S., Mohamad Said K.A., Razak M.S.A. and Sinin A.E. (2025). The Seung (Sueng or Sung), a Plucked Fretted Lute from the Northern Region of Thailand. BioResources, 20(2), 3234-3251.</w:t>
      </w:r>
    </w:p>
    <w:p>
      <w:pPr>
        <w:spacing w:line="240" w:lineRule="auto"/>
        <w:ind w:left="360"/>
        <w:jc w:val="both"/>
        <w:rPr>
          <w:rFonts w:ascii="Arial" w:cs="Arial" w:hAnsi="Arial"/>
          <w:sz w:val="16"/>
          <w:szCs w:val="16"/>
        </w:rPr>
      </w:pPr>
      <w:r>
        <w:rPr>
          <w:rFonts w:ascii="Arial" w:cs="Arial" w:hAnsi="Arial"/>
          <w:sz w:val="16"/>
          <w:szCs w:val="16"/>
        </w:rPr>
        <w:t>Hamdan S., Duin E.M.A., Said K.A.M., Kipli K., Sinin A.E. and Musib A.F. (2025). Sundatang-Sabah’s Lost Lute of Borneo. BioResources, 20(3), 5331-5347.</w:t>
      </w:r>
    </w:p>
    <w:p>
      <w:pPr>
        <w:spacing w:line="240" w:lineRule="auto"/>
        <w:ind w:left="360"/>
        <w:jc w:val="both"/>
        <w:rPr>
          <w:rFonts w:ascii="Arial" w:cs="Arial" w:hAnsi="Arial"/>
          <w:sz w:val="16"/>
          <w:szCs w:val="16"/>
        </w:rPr>
      </w:pPr>
      <w:r>
        <w:rPr>
          <w:rFonts w:ascii="Arial" w:cs="Arial" w:hAnsi="Arial"/>
          <w:sz w:val="16"/>
          <w:szCs w:val="16"/>
        </w:rPr>
        <w:t>Sinin A.E., Hamdan S., Said K.A.M., Duin E.A.M. and Musib A.F. (2025). The Hasapi of the Batak Toba from Sumatra Indonesia. BioResources, 20(1), 1110-1126.</w:t>
      </w:r>
    </w:p>
    <w:p>
      <w:pPr>
        <w:spacing w:line="240" w:lineRule="auto"/>
        <w:ind w:left="360"/>
        <w:jc w:val="both"/>
        <w:rPr>
          <w:rFonts w:ascii="Arial" w:cs="Arial" w:hAnsi="Arial"/>
          <w:sz w:val="16"/>
          <w:szCs w:val="16"/>
        </w:rPr>
      </w:pPr>
      <w:r>
        <w:rPr>
          <w:rFonts w:ascii="Arial" w:cs="Arial" w:hAnsi="Arial"/>
          <w:sz w:val="16"/>
          <w:szCs w:val="16"/>
        </w:rPr>
        <w:t>Sinin, A. E., Hamdan, S., Mohamad Said, K. A., M. Duin, E. A., and Musib, A. F. (2025). "The Hasapi of the Batak Toba from Sumatra Indonesia," BioResources 20(1), 1110–1126.</w:t>
      </w:r>
    </w:p>
    <w:p>
      <w:pPr>
        <w:spacing w:line="240" w:lineRule="auto"/>
        <w:ind w:left="360"/>
        <w:jc w:val="both"/>
        <w:rPr>
          <w:rFonts w:ascii="Arial" w:cs="Arial" w:hAnsi="Arial"/>
          <w:sz w:val="16"/>
          <w:szCs w:val="16"/>
        </w:rPr>
      </w:pPr>
      <w:r>
        <w:rPr>
          <w:rFonts w:ascii="Arial" w:cs="Arial" w:hAnsi="Arial"/>
          <w:sz w:val="16"/>
          <w:szCs w:val="16"/>
        </w:rPr>
        <w:t>Sinin, A. E., Hamdan, S., Mohamad Said, K. A., M. Duin, E. A., &amp; Musib, A. F. (2024). Interlocking Rhythmic Composition Style of Borneo Ketebong-The Gendang Pampat. BioResources, 19(4), 9447–9457.</w:t>
      </w:r>
    </w:p>
    <w:p>
      <w:pPr>
        <w:spacing w:line="240" w:lineRule="auto"/>
        <w:ind w:left="360"/>
        <w:jc w:val="both"/>
        <w:rPr>
          <w:rFonts w:ascii="Arial" w:cs="Arial" w:hAnsi="Arial"/>
          <w:sz w:val="16"/>
          <w:szCs w:val="16"/>
        </w:rPr>
      </w:pPr>
      <w:r>
        <w:rPr>
          <w:rFonts w:ascii="Arial" w:cs="Arial" w:hAnsi="Arial"/>
          <w:sz w:val="16"/>
          <w:szCs w:val="16"/>
        </w:rPr>
        <w:t>Hamdan, S., Mohamad Said, K. A., Duin, E. A. M., Sinin, A. E., Wahyono, T., &amp; Sosiati, H. (2024). The Bundengan of Wonosobo, Indonesia. BioResources, 19(4), 9101–9114</w:t>
      </w:r>
    </w:p>
    <w:p>
      <w:pPr>
        <w:spacing w:line="240" w:lineRule="auto"/>
        <w:ind w:left="360"/>
        <w:jc w:val="both"/>
        <w:rPr>
          <w:rFonts w:ascii="Arial" w:cs="Arial" w:hAnsi="Arial"/>
          <w:sz w:val="16"/>
          <w:szCs w:val="16"/>
        </w:rPr>
      </w:pPr>
      <w:r>
        <w:rPr>
          <w:rFonts w:ascii="Arial" w:cs="Arial" w:hAnsi="Arial"/>
          <w:sz w:val="16"/>
          <w:szCs w:val="16"/>
        </w:rPr>
        <w:t>Ezra Alfandy M Duin, Doris Anak Maying and Madzlan bin Abet. (2024). Enhancing Student Comprehension of Audio Mixing and
Mastering Through Jigsaw Activity: A Study of Pedagogical
Impact, International Journal of Communication Networks and Information Security, 16(S1), 1352-1360</w:t>
      </w:r>
    </w:p>
    <w:p>
      <w:pPr>
        <w:spacing w:line="240" w:lineRule="auto"/>
        <w:ind w:left="360"/>
        <w:jc w:val="both"/>
        <w:rPr>
          <w:rFonts w:ascii="Arial" w:cs="Arial" w:hAnsi="Arial"/>
          <w:sz w:val="16"/>
          <w:szCs w:val="16"/>
        </w:rPr>
      </w:pPr>
      <w:r>
        <w:rPr>
          <w:rFonts w:ascii="Arial" w:cs="Arial" w:hAnsi="Arial"/>
          <w:sz w:val="16"/>
          <w:szCs w:val="16"/>
        </w:rPr>
        <w:t>Nordin M., Abet M., Tang H., M Duin E. and Maying D. (2024). The Development Concept of Pupils Health Risks with Special Education Needs Visual Impairment through the Implementation of Individual Teaching Plans. Journal of Chemical Health Risks, 14(1), 1-5.</w:t>
      </w:r>
    </w:p>
    <w:p>
      <w:pPr>
        <w:spacing w:line="240" w:lineRule="auto"/>
        <w:ind w:left="360"/>
        <w:jc w:val="both"/>
        <w:rPr>
          <w:rFonts w:ascii="Arial" w:cs="Arial" w:hAnsi="Arial"/>
          <w:sz w:val="16"/>
          <w:szCs w:val="16"/>
        </w:rPr>
      </w:pPr>
      <w:r>
        <w:rPr>
          <w:rFonts w:ascii="Arial" w:cs="Arial" w:hAnsi="Arial"/>
          <w:sz w:val="16"/>
          <w:szCs w:val="16"/>
        </w:rPr>
        <w:t>M Duin E., Maying D. and Abet M. (2024). Enhancing Student Comprehension of Audio Mixing and
Mastering Through Jigsaw Activity : A Study of Pedagogical
Impact. International Journal of Communication Networks and Information Security, 16(S1), 1352-1360.</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CDATA[Instrument/Vocal and Ensemble I, Instrumen/ Vokal & Ensemble V, Appreciation of Ethics and Civilization , Project and Music Performance Production, Instrument/Vocal & Ensemble III, Instrument/Vocal & Ensemble IV, Studio Recording Technique, Instrument/Vocal & Ensemble I, Instrument/Vocal & Ensemble II, Instrument/Vocal and Ensemble II, Final Year Project 2, Research and Theory Analysis, Music Theory III, Instrumen/Vokal & Ensemble V, Musical Instrument Digital Interface, Instrument/Vocal and Ensemble IV, Arranging Technique and Orchestration, Instrumen/Vokal and Ensemble V, Instrument/Vocal and Ensemble III, Final Year Project 1, Instrument/Vocal & Ensemble VI, Modern Harmony, Softskills & Basic Volunteerism, Studio RecordingTechnique]]></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