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Asri bin Said</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Medicine and Health Sciences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082-267002</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sasri@unimas.my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Dr Asri bin Said is a Professor in the Department of  Medicine, Faculty of Medicine and Health Sciences. He is also the Dean of the faculty and is a Consultant Cardiologist. He does clinical work in the Sarawak Heart Centre (SHC), Kota Samarahan. He graduated from Universiti Kebangsaan Malaysia (UKM) in 2001, and completed his Masters in Medicine (Internal Medicine) in UKM in 2009.  His area of research interest includes acute coronary syndrome, recovery from acute myocardial infarctions, biomarkers, and imaging. Together with the SHC, he has participated in over 20 phase III to IV Commercial Clinical Trials. He is currently also active in investigator initiated research with areas of interest in post myocardial infarction imaging and genetic biomarkers. He has been nominated for Young Investigator Award during the National Heart Association Malaysia Annual Scientific Meeting for 2 consecutive years and won it in 2015. He is a Fellow of National Heart Association Malaysia, Fellow of ASEAN Cardiology Society, and Fellow of European Society of Cardiology, and a committee member for Kenyalang Medical Foundation.</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Sarjana Kepakaran, Perubatan Dalaman, Universiti Kebangsaan Malaysia, 2009</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Medicine, Perubatan, Universiti Kebangsaan Malaysia, 2001</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Clinical Medicine, Cardiology</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Prevalence of Left Ventricular Hpyertrophy Among Hypertensive Patients in Primary Care and Impact of Echocardiography on Cardiovaskur Risk Stratification, Head / Project Leader, 2010-2012,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Prevalence and Correlates of Disability in Sarawak: An Analytic Cross Sectional Study, Co-Researcher, 2013-2016, Fundamental Research Grant Scheme</w:t>
      </w:r>
    </w:p>
    <w:p>
      <w:pPr>
        <w:spacing w:line="240" w:lineRule="auto"/>
        <w:ind w:left="360"/>
        <w:jc w:val="both"/>
        <w:rPr>
          <w:rFonts w:ascii="Arial" w:cs="Arial" w:hAnsi="Arial"/>
          <w:sz w:val="16"/>
          <w:szCs w:val="16"/>
        </w:rPr>
      </w:pPr>
      <w:r>
        <w:rPr>
          <w:rFonts w:ascii="Arial" w:cs="Arial" w:hAnsi="Arial"/>
          <w:sz w:val="16"/>
          <w:szCs w:val="16"/>
        </w:rPr>
        <w:t>Relationship Between Atherogenic Lipid Profile And Serum Leptin Levels In Patients With Stable Coronary Artery Disease (Cad),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Investigation into the Prognostic Impact and Relationship of MiRNA-208 on Infarct Healing Post Acute Anterior Myocardial Infarction Using MRI,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Disease Prevalence and Risk Factor by Kinship among the Penan Community, Co-Researcher, 2014-2016, Research Acculturation Collaborative Effort</w:t>
      </w:r>
    </w:p>
    <w:p>
      <w:pPr>
        <w:spacing w:line="240" w:lineRule="auto"/>
        <w:ind w:left="360"/>
        <w:jc w:val="both"/>
        <w:rPr>
          <w:rFonts w:ascii="Arial" w:cs="Arial" w:hAnsi="Arial"/>
          <w:sz w:val="16"/>
          <w:szCs w:val="16"/>
        </w:rPr>
      </w:pPr>
      <w:r>
        <w:rPr>
          <w:rFonts w:ascii="Arial" w:cs="Arial" w:hAnsi="Arial"/>
          <w:sz w:val="16"/>
          <w:szCs w:val="16"/>
        </w:rPr>
        <w:t>Rheumatic Heart Disease in High-Risk Population in Betong, Sarawak, Head / Project Leader, 2017-2019, Special Grant Scheme</w:t>
      </w:r>
    </w:p>
    <w:p>
      <w:pPr>
        <w:spacing w:line="240" w:lineRule="auto"/>
        <w:ind w:left="360"/>
        <w:jc w:val="both"/>
        <w:rPr>
          <w:rFonts w:ascii="Arial" w:cs="Arial" w:hAnsi="Arial"/>
          <w:sz w:val="16"/>
          <w:szCs w:val="16"/>
        </w:rPr>
      </w:pPr>
      <w:r>
        <w:rPr>
          <w:rFonts w:ascii="Arial" w:cs="Arial" w:hAnsi="Arial"/>
          <w:sz w:val="16"/>
          <w:szCs w:val="16"/>
        </w:rPr>
        <w:t>A New Artificial Neural Network Model to Predict Left Ventricle Remodeling for Clinical Decision and Treatment Strategies, Co-Researcher, 2017-2019, Special FRGS 2016 Cycle</w:t>
      </w:r>
    </w:p>
    <w:p>
      <w:pPr>
        <w:spacing w:line="240" w:lineRule="auto"/>
        <w:ind w:left="360"/>
        <w:jc w:val="both"/>
        <w:rPr>
          <w:rFonts w:ascii="Arial" w:cs="Arial" w:hAnsi="Arial"/>
          <w:sz w:val="16"/>
          <w:szCs w:val="16"/>
        </w:rPr>
      </w:pPr>
      <w:r>
        <w:rPr>
          <w:rFonts w:ascii="Arial" w:cs="Arial" w:hAnsi="Arial"/>
          <w:sz w:val="16"/>
          <w:szCs w:val="16"/>
        </w:rPr>
        <w:t>Automated Cardiac MRI Oedema System (ACES), Co-Researcher, 2019-2020, Prototype Research Grant Scheme</w:t>
      </w:r>
    </w:p>
    <w:p>
      <w:pPr>
        <w:spacing w:line="240" w:lineRule="auto"/>
        <w:ind w:left="360"/>
        <w:jc w:val="both"/>
        <w:rPr>
          <w:rFonts w:ascii="Arial" w:cs="Arial" w:hAnsi="Arial"/>
          <w:sz w:val="16"/>
          <w:szCs w:val="16"/>
        </w:rPr>
      </w:pPr>
      <w:r>
        <w:rPr>
          <w:rFonts w:ascii="Arial" w:cs="Arial" w:hAnsi="Arial"/>
          <w:sz w:val="16"/>
          <w:szCs w:val="16"/>
        </w:rPr>
        <w:t>Multicentre Cross-Sectional Cardiovascular Magnetic Resonance (CMR) Study on Indication and Safety of CMR in real world clinical practice in Malaysia., Head / Project Leader, 2018-2019, UHSB (Industrial Grant)</w:t>
      </w:r>
    </w:p>
    <w:p>
      <w:pPr>
        <w:spacing w:line="240" w:lineRule="auto"/>
        <w:ind w:left="360"/>
        <w:jc w:val="both"/>
        <w:rPr>
          <w:rFonts w:ascii="Arial" w:cs="Arial" w:hAnsi="Arial"/>
          <w:sz w:val="16"/>
          <w:szCs w:val="16"/>
        </w:rPr>
      </w:pPr>
      <w:r>
        <w:rPr>
          <w:rFonts w:ascii="Arial" w:cs="Arial" w:hAnsi="Arial"/>
          <w:sz w:val="16"/>
          <w:szCs w:val="16"/>
        </w:rPr>
        <w:t>Single Nucleotide Polymorphism association with Coronary Artery Calcification, Co-Researcher, 2019-2022, Padanan (Antarabangsa)</w:t>
      </w:r>
    </w:p>
    <w:p>
      <w:pPr>
        <w:spacing w:line="240" w:lineRule="auto"/>
        <w:ind w:left="360"/>
        <w:jc w:val="both"/>
        <w:rPr>
          <w:rFonts w:ascii="Arial" w:cs="Arial" w:hAnsi="Arial"/>
          <w:sz w:val="16"/>
          <w:szCs w:val="16"/>
        </w:rPr>
      </w:pPr>
      <w:r>
        <w:rPr>
          <w:rFonts w:ascii="Arial" w:cs="Arial" w:hAnsi="Arial"/>
          <w:sz w:val="16"/>
          <w:szCs w:val="16"/>
        </w:rPr>
        <w:t>miRNA as Biomarker for CORonary CALcification - Prospectivce Single Study of Patient in Sarawak, Malaysia (CorCal Study), Head / Project Leader, 2019-2021, Luar (Antarabangsa)</w:t>
      </w:r>
    </w:p>
    <w:p>
      <w:pPr>
        <w:spacing w:line="240" w:lineRule="auto"/>
        <w:ind w:left="360"/>
        <w:jc w:val="both"/>
        <w:rPr>
          <w:rFonts w:ascii="Arial" w:cs="Arial" w:hAnsi="Arial"/>
          <w:sz w:val="16"/>
          <w:szCs w:val="16"/>
        </w:rPr>
      </w:pPr>
      <w:r>
        <w:rPr>
          <w:rFonts w:ascii="Arial" w:cs="Arial" w:hAnsi="Arial"/>
          <w:sz w:val="16"/>
          <w:szCs w:val="16"/>
        </w:rPr>
        <w:t>The Longitudinal study on antibody kinetics post-COVID-19 vaccination, Co-Researcher, 2021-2023, Partners</w:t>
      </w:r>
    </w:p>
    <w:p>
      <w:pPr>
        <w:spacing w:line="240" w:lineRule="auto"/>
        <w:ind w:left="360"/>
        <w:jc w:val="both"/>
        <w:rPr>
          <w:rFonts w:ascii="Arial" w:cs="Arial" w:hAnsi="Arial"/>
          <w:sz w:val="16"/>
          <w:szCs w:val="16"/>
        </w:rPr>
      </w:pPr>
      <w:r>
        <w:rPr>
          <w:rFonts w:ascii="Arial" w:cs="Arial" w:hAnsi="Arial"/>
          <w:sz w:val="16"/>
          <w:szCs w:val="16"/>
        </w:rPr>
        <w:t>Exploring effect of Vitamin D as an adjunct therapy for patients with obstructive sleep apnea and hypertension, Co-Researcher, 2021-2023, Impact</w:t>
      </w:r>
    </w:p>
    <w:p>
      <w:pPr>
        <w:spacing w:line="240" w:lineRule="auto"/>
        <w:ind w:left="360"/>
        <w:jc w:val="both"/>
        <w:rPr>
          <w:rFonts w:ascii="Arial" w:cs="Arial" w:hAnsi="Arial"/>
          <w:sz w:val="16"/>
          <w:szCs w:val="16"/>
        </w:rPr>
      </w:pPr>
      <w:r>
        <w:rPr>
          <w:rFonts w:ascii="Arial" w:cs="Arial" w:hAnsi="Arial"/>
          <w:sz w:val="16"/>
          <w:szCs w:val="16"/>
        </w:rPr>
        <w:t>Elucidation of Vitamin D levels and Heart Rate Variability Influence on Endothelial Function via Renin Angiotensin Aldosterone System Augmentation in Obstructive Sleep Apnea, Co-Researcher, 2021-2024, Fundamental Research Grant Scheme</w:t>
      </w:r>
    </w:p>
    <w:p>
      <w:pPr>
        <w:spacing w:line="240" w:lineRule="auto"/>
        <w:ind w:left="360"/>
        <w:jc w:val="both"/>
        <w:rPr>
          <w:rFonts w:ascii="Arial" w:cs="Arial" w:hAnsi="Arial"/>
          <w:sz w:val="16"/>
          <w:szCs w:val="16"/>
        </w:rPr>
      </w:pPr>
      <w:r>
        <w:rPr>
          <w:rFonts w:ascii="Arial" w:cs="Arial" w:hAnsi="Arial"/>
          <w:sz w:val="16"/>
          <w:szCs w:val="16"/>
        </w:rPr>
        <w:t>The temporal pattern of GDF-15 in chronic coronary syndrome with reduced ejection fraction patients undergoing percutaneous coronary intervention: A Pilot Study, Co-Researcher, 2023-2025, PILOT</w:t>
      </w:r>
    </w:p>
    <w:p>
      <w:pPr>
        <w:spacing w:line="240" w:lineRule="auto"/>
        <w:ind w:left="360"/>
        <w:jc w:val="both"/>
        <w:rPr>
          <w:rFonts w:ascii="Arial" w:cs="Arial" w:hAnsi="Arial"/>
          <w:sz w:val="16"/>
          <w:szCs w:val="16"/>
        </w:rPr>
      </w:pPr>
      <w:r>
        <w:rPr>
          <w:rFonts w:ascii="Arial" w:cs="Arial" w:hAnsi="Arial"/>
          <w:sz w:val="16"/>
          <w:szCs w:val="16"/>
        </w:rPr>
        <w:t>THE UTILISATION OF ARTIFICIAL INTELLIGENCE-ENABLED ECHOCARDIOGRAPHY IN PREDICTING LEFT VENTRICULAR REMODELING POST ACUTE MYOCARDIAL INFARCTION, Co-Researcher, 2024-2026, PILOT</w:t>
      </w:r>
    </w:p>
    <w:p>
      <w:pPr>
        <w:spacing w:line="240" w:lineRule="auto"/>
        <w:ind w:left="360"/>
        <w:jc w:val="both"/>
        <w:rPr>
          <w:rFonts w:ascii="Arial" w:cs="Arial" w:hAnsi="Arial"/>
          <w:sz w:val="16"/>
          <w:szCs w:val="16"/>
        </w:rPr>
      </w:pPr>
      <w:r>
        <w:rPr>
          <w:rFonts w:ascii="Arial" w:cs="Arial" w:hAnsi="Arial"/>
          <w:sz w:val="16"/>
          <w:szCs w:val="16"/>
        </w:rPr>
        <w:t>Mediating Role of Self-Determination in Quality of Life amid Catastrophic Health Expenditure and Psychological Distress among Malaysian Retirees: An Analysis from Social-Ecological Perspectives, Head / Project Leader, 2024-2027, Fundamental Research Grant Scheme</w:t>
      </w:r>
    </w:p>
    <w:p>
      <w:pPr>
        <w:spacing w:line="240" w:lineRule="auto"/>
        <w:ind w:left="360"/>
        <w:jc w:val="both"/>
        <w:rPr>
          <w:rFonts w:ascii="Arial" w:cs="Arial" w:hAnsi="Arial"/>
          <w:sz w:val="16"/>
          <w:szCs w:val="16"/>
        </w:rPr>
      </w:pPr>
      <w:r>
        <w:rPr>
          <w:rFonts w:ascii="Arial" w:cs="Arial" w:hAnsi="Arial"/>
          <w:sz w:val="16"/>
          <w:szCs w:val="16"/>
        </w:rPr>
        <w:t>Wondaleaf Condom Catheters to manage Men with Urinary Incontinence: A non-randomised quasi experimental study, Co-Researcher, 2024-2025, Industri Universiti</w:t>
      </w:r>
    </w:p>
    <w:p>
      <w:pPr>
        <w:spacing w:line="240" w:lineRule="auto"/>
        <w:ind w:left="360"/>
        <w:jc w:val="both"/>
        <w:rPr>
          <w:rFonts w:ascii="Arial" w:cs="Arial" w:hAnsi="Arial"/>
          <w:sz w:val="16"/>
          <w:szCs w:val="16"/>
        </w:rPr>
      </w:pPr>
      <w:r>
        <w:rPr>
          <w:rFonts w:ascii="Arial" w:cs="Arial" w:hAnsi="Arial"/>
          <w:sz w:val="16"/>
          <w:szCs w:val="16"/>
        </w:rPr>
        <w:t>Destination Health: A Holistic Exploration of Medical Tourism Opportunities in Sarawak, Co-Researcher, 2025-2026, Industri Universiti</w:t>
      </w:r>
    </w:p>
    <w:p>
      <w:pPr>
        <w:spacing w:line="240" w:lineRule="auto"/>
        <w:ind w:left="360"/>
        <w:jc w:val="both"/>
        <w:rPr>
          <w:rFonts w:ascii="Arial" w:cs="Arial" w:hAnsi="Arial"/>
          <w:sz w:val="16"/>
          <w:szCs w:val="16"/>
        </w:rPr>
      </w:pPr>
      <w:r>
        <w:rPr>
          <w:rFonts w:ascii="Arial" w:cs="Arial" w:hAnsi="Arial"/>
          <w:sz w:val="16"/>
          <w:szCs w:val="16"/>
        </w:rPr>
        <w:t>Managing Hospital Overcrowding Through Scalable Home Admission Models in Sarawak: Formative, Acceptability and Feasibility Study on the Implementation, Head / Project Leader, 2025-2027, Mesra Grant</w:t>
      </w:r>
    </w:p>
    <w:p>
      <w:pPr>
        <w:spacing w:line="240" w:lineRule="auto"/>
        <w:ind w:left="360"/>
        <w:jc w:val="both"/>
        <w:rPr>
          <w:rFonts w:ascii="Arial" w:cs="Arial" w:hAnsi="Arial"/>
          <w:sz w:val="16"/>
          <w:szCs w:val="16"/>
        </w:rPr>
      </w:pPr>
      <w:r>
        <w:rPr>
          <w:rFonts w:ascii="Arial" w:cs="Arial" w:hAnsi="Arial"/>
          <w:sz w:val="16"/>
          <w:szCs w:val="16"/>
        </w:rPr>
        <w:t>Deploying TinyML for Real-Time Physiological Risk Prediction in Decentralized Healthcare Systems, Co-Researcher, 2025-2027, Mesra Grant</w:t>
      </w:r>
    </w:p>
    <w:p>
      <w:pPr>
        <w:spacing w:line="240" w:lineRule="auto"/>
        <w:ind w:left="360"/>
        <w:jc w:val="both"/>
        <w:rPr>
          <w:rFonts w:ascii="Arial" w:cs="Arial" w:hAnsi="Arial"/>
          <w:sz w:val="16"/>
          <w:szCs w:val="16"/>
        </w:rPr>
      </w:pPr>
      <w:r>
        <w:rPr>
          <w:rFonts w:ascii="Arial" w:cs="Arial" w:hAnsi="Arial"/>
          <w:sz w:val="16"/>
          <w:szCs w:val="16"/>
        </w:rPr>
        <w:t>Blokchain-Enabled Secure Edge-AI Architecture for Remote Patien Monitoring in Sarawak's Rural Healthcare, Co-Researcher, 2025-2027, Mesra Grant</w:t>
      </w:r>
    </w:p>
    <w:p>
      <w:pPr>
        <w:spacing w:line="240" w:lineRule="auto"/>
        <w:ind w:left="360"/>
        <w:jc w:val="both"/>
        <w:rPr>
          <w:rFonts w:ascii="Arial" w:cs="Arial" w:hAnsi="Arial"/>
          <w:sz w:val="16"/>
          <w:szCs w:val="16"/>
        </w:rPr>
      </w:pPr>
      <w:r>
        <w:rPr>
          <w:rFonts w:ascii="Arial" w:cs="Arial" w:hAnsi="Arial"/>
          <w:sz w:val="16"/>
          <w:szCs w:val="16"/>
        </w:rPr>
        <w:t>Research on the development of recombinant Vaccine Candidates for Zoonotic Rotaviruses in a Plant Model, Co-Researcher, 2025-2028, Luar (Nasional)</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Wellnes Programme related to Cardiovaskular Risk factor for Bank Negara, Kuching Branch, Bank Negara Malaysia Cawangan Kuching, Project Manager, 2010 - 2010,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Loh H.H., Kang W.H., Yee A., Su A.T., Yong M.C., Said A., Loh H.S. and Sukor N. (2026). Impact of continuous positive airway pressure therapy on renin–angiotensin–aldosterone system in obstructive sleep apnea: an updated systematic review and meta-analysis. Sleep and Breathing, 30(2), 1.</w:t>
      </w:r>
    </w:p>
    <w:p>
      <w:pPr>
        <w:spacing w:line="240" w:lineRule="auto"/>
        <w:ind w:left="360"/>
        <w:jc w:val="both"/>
        <w:rPr>
          <w:rFonts w:ascii="Arial" w:cs="Arial" w:hAnsi="Arial"/>
          <w:sz w:val="16"/>
          <w:szCs w:val="16"/>
        </w:rPr>
      </w:pPr>
      <w:r>
        <w:rPr>
          <w:rFonts w:ascii="Arial" w:cs="Arial" w:hAnsi="Arial"/>
          <w:sz w:val="16"/>
          <w:szCs w:val="16"/>
        </w:rPr>
        <w:t>R. Chadda K., Routh J., Ismail T., Amirthalingam S., Angkurawaranon C., Boonyaratanakornkit V., Abang Haji Kassim D., Awang Ojep D., Lukas S., Said A. and Jeevaratnam K. (2026). Student and Staff Perspectives on Important Employability
and Global Mobility Skills for Health Professionals in
Higher Education. Annals of the New York Academy of Sciences, 1557(1), 1-10.</w:t>
      </w:r>
    </w:p>
    <w:p>
      <w:pPr>
        <w:spacing w:line="240" w:lineRule="auto"/>
        <w:ind w:left="360"/>
        <w:jc w:val="both"/>
        <w:rPr>
          <w:rFonts w:ascii="Arial" w:cs="Arial" w:hAnsi="Arial"/>
          <w:sz w:val="16"/>
          <w:szCs w:val="16"/>
        </w:rPr>
      </w:pPr>
      <w:r>
        <w:rPr>
          <w:rFonts w:ascii="Arial" w:cs="Arial" w:hAnsi="Arial"/>
          <w:sz w:val="16"/>
          <w:szCs w:val="16"/>
        </w:rPr>
        <w:t>Huai Heng L., Siow Phing T., Ai Jiun K., Mei Ching Y., Said A., Chee Shee C., Abdul Malik N., Su Ting A., Tang B., Hui Sieng F. and Sukor N. (2026). Predictors of vitamin D deficiency and quality of life in obese patients with obstructive sleep apnea. Scientific Reports, 1(1), 1-25.</w:t>
      </w:r>
    </w:p>
    <w:p>
      <w:pPr>
        <w:spacing w:line="240" w:lineRule="auto"/>
        <w:ind w:left="360"/>
        <w:jc w:val="both"/>
        <w:rPr>
          <w:rFonts w:ascii="Arial" w:cs="Arial" w:hAnsi="Arial"/>
          <w:sz w:val="16"/>
          <w:szCs w:val="16"/>
        </w:rPr>
      </w:pPr>
      <w:r>
        <w:rPr>
          <w:rFonts w:ascii="Arial" w:cs="Arial" w:hAnsi="Arial"/>
          <w:sz w:val="16"/>
          <w:szCs w:val="16"/>
        </w:rPr>
        <w:t>Abutair, A. S., Rahman, M. M., &amp; Said, A. B. (2025). Development and validation of the arabic version of the social-ecological model questionnaire for patients undergoing maintenance hemodialysis. PLoS One, 20(10), e0333740. https://doi.org/10.1371/journal.pone.0333740</w:t>
      </w:r>
    </w:p>
    <w:p>
      <w:pPr>
        <w:spacing w:line="240" w:lineRule="auto"/>
        <w:ind w:left="360"/>
        <w:jc w:val="both"/>
        <w:rPr>
          <w:rFonts w:ascii="Arial" w:cs="Arial" w:hAnsi="Arial"/>
          <w:sz w:val="16"/>
          <w:szCs w:val="16"/>
        </w:rPr>
      </w:pPr>
      <w:r>
        <w:rPr>
          <w:rFonts w:ascii="Arial" w:cs="Arial" w:hAnsi="Arial"/>
          <w:sz w:val="16"/>
          <w:szCs w:val="16"/>
        </w:rPr>
        <w:t>Loh H., Tay S., Koa A., Yong M., Said A., Chai C., Abdul Malik N., Su Ting A., Tang B., Tan F. and Sukor N. (2025). Cardiac Autonomic Dysfunction in Obstructive Sleep
Apnea : The Hidden Role of Vitamin D Deficiency. Journal of Evidence-Based Medicine, 1(1), 1-4.</w:t>
      </w:r>
    </w:p>
    <w:p>
      <w:pPr>
        <w:spacing w:line="240" w:lineRule="auto"/>
        <w:ind w:left="360"/>
        <w:jc w:val="both"/>
        <w:rPr>
          <w:rFonts w:ascii="Arial" w:cs="Arial" w:hAnsi="Arial"/>
          <w:sz w:val="16"/>
          <w:szCs w:val="16"/>
        </w:rPr>
      </w:pPr>
      <w:r>
        <w:rPr>
          <w:rFonts w:ascii="Arial" w:cs="Arial" w:hAnsi="Arial"/>
          <w:sz w:val="16"/>
          <w:szCs w:val="16"/>
        </w:rPr>
        <w:t>Jolene Yin Ling Fu, Sharifah Faridah Syed Omar, Reena Rajasuriar, Anjanna Kukreja, Sazali Basri, Adeeba Kamarulzaman, Cheng Siang Tan, Asri Said, Lela Su'ut, Soo Kun Lim, Maisarah Jalalonmuhali, Maria Kahar Bador, I-Ching Sam, Yoke Fun Chan, Lin-Fa Wang, Kristine Alvarado-Dela Cruz, Sidney Yee, Ho Yuan Lu, Weng Ruifen, Rahul Pandey, Barnaby Young, Raghav Sundar, Amin Soebandrio, Anak Agung Sagung Sawitri, I. Nyoman Sutarsa, Watsamon Jantarabenjakul, Napaporn Chan, Chee Wah Tan, Le Van Tan, Yoke-Fun Chan,
Longitudinal dynamics of immune responses after mRNA and inactivated COVID-19 vaccination, boosters, and breakthrough infections in Malaysia,
Vaccine,
Volume 63,
2025,</w:t>
      </w:r>
    </w:p>
    <w:p>
      <w:pPr>
        <w:spacing w:line="240" w:lineRule="auto"/>
        <w:ind w:left="360"/>
        <w:jc w:val="both"/>
        <w:rPr>
          <w:rFonts w:ascii="Arial" w:cs="Arial" w:hAnsi="Arial"/>
          <w:sz w:val="16"/>
          <w:szCs w:val="16"/>
        </w:rPr>
      </w:pPr>
      <w:r>
        <w:rPr>
          <w:rFonts w:ascii="Arial" w:cs="Arial" w:hAnsi="Arial"/>
          <w:sz w:val="16"/>
          <w:szCs w:val="16"/>
        </w:rPr>
        <w:t>Loh H.H., Tay S.P., Koa A.J., Yong M.C., Said A., Chai C.S., Malik N.M.A., Su A.T., Tang B.B.C., Tan F.H.S., Azizan E.A. and Sukor N. (2025). Hypertension in obstructive sleep apnea: the hidden role of renin–angiotensin–aldosterone system dysregulation. Tropical Medicine and Health, 53(1), 1.</w:t>
      </w:r>
    </w:p>
    <w:p>
      <w:pPr>
        <w:spacing w:line="240" w:lineRule="auto"/>
        <w:ind w:left="360"/>
        <w:jc w:val="both"/>
        <w:rPr>
          <w:rFonts w:ascii="Arial" w:cs="Arial" w:hAnsi="Arial"/>
          <w:sz w:val="16"/>
          <w:szCs w:val="16"/>
        </w:rPr>
      </w:pPr>
      <w:r>
        <w:rPr>
          <w:rFonts w:ascii="Arial" w:cs="Arial" w:hAnsi="Arial"/>
          <w:sz w:val="16"/>
          <w:szCs w:val="16"/>
        </w:rPr>
        <w:t>Ko A., Yen Yee O., Bui Khiong C., Tong J., Cheng Foong C., Chin E., Kit How C., Lai Kuan L., How Kiat K., Han Bing C., En Ze C., Hwei Sung L., Ing Xiang P., Kian Hui H., Shu F., Chen Ting T., Keng Tat K., Yee Ling C., Said A., Fong A. and Tiong Kiam O. (2024). Association between left atrial strain and left ventricular diastolic dysfunction. International Journal of Cardiology, 417(Supp.), 1.</w:t>
      </w:r>
    </w:p>
    <w:p>
      <w:pPr>
        <w:spacing w:line="240" w:lineRule="auto"/>
        <w:ind w:left="360"/>
        <w:jc w:val="both"/>
        <w:rPr>
          <w:rFonts w:ascii="Arial" w:cs="Arial" w:hAnsi="Arial"/>
          <w:sz w:val="16"/>
          <w:szCs w:val="16"/>
        </w:rPr>
      </w:pPr>
      <w:r>
        <w:rPr>
          <w:rFonts w:ascii="Arial" w:cs="Arial" w:hAnsi="Arial"/>
          <w:sz w:val="16"/>
          <w:szCs w:val="16"/>
        </w:rPr>
        <w:t>Rahman, M. M., Suut, N. b., Putit, Z. b., Arif, M. T., Said, A. b., Suhaili, M. R. b., Fadzillah, M., Tambi, Z. b., &amp; Kee, L. H. (2024). Identifying Stroke Caregivers’ Coping Strategies: The Smile that has Struggled through the Tears-A Mixed-Method Research Approach. Bangladesh Journal of Medical Science 23(1), 130-140. https://doi.org/10.3329/bjms.v23i1.70704</w:t>
      </w:r>
    </w:p>
    <w:p>
      <w:pPr>
        <w:spacing w:line="240" w:lineRule="auto"/>
        <w:ind w:left="360"/>
        <w:jc w:val="both"/>
        <w:rPr>
          <w:rFonts w:ascii="Arial" w:cs="Arial" w:hAnsi="Arial"/>
          <w:sz w:val="16"/>
          <w:szCs w:val="16"/>
        </w:rPr>
      </w:pPr>
      <w:r>
        <w:rPr>
          <w:rFonts w:ascii="Arial" w:cs="Arial" w:hAnsi="Arial"/>
          <w:sz w:val="16"/>
          <w:szCs w:val="16"/>
        </w:rPr>
        <w:t>Ajeng, R. N., Rahman, M. M., Said, A. b., Adenan, A. S. b., Ameenudeen, M., Choo, G. M. G. K., Siddiq, M., &amp; Gahamat, M. F. (2023). Determinants of rheumatic heart disease: findings from qualitative research approach. Paediatrica Indonesiana, 63(6), 483-491.</w:t>
      </w:r>
    </w:p>
    <w:p>
      <w:pPr>
        <w:spacing w:line="240" w:lineRule="auto"/>
        <w:ind w:left="360"/>
        <w:jc w:val="both"/>
        <w:rPr>
          <w:rFonts w:ascii="Arial" w:cs="Arial" w:hAnsi="Arial"/>
          <w:sz w:val="16"/>
          <w:szCs w:val="16"/>
        </w:rPr>
      </w:pPr>
      <w:r>
        <w:rPr>
          <w:rFonts w:ascii="Arial" w:cs="Arial" w:hAnsi="Arial"/>
          <w:sz w:val="16"/>
          <w:szCs w:val="16"/>
        </w:rPr>
        <w:t>En Ze C., Hwei Sung L., Han Bing C., B.K. C., H. K. K., A. T. Y. K., K. H. C., L. K. L., L.K. T., I. X. P., H.  K. H., F.E.P. S., C.T. T., K.T. K., Y.Y. O., Y.L. C., Said A., A.Y.Y. F. and T.K. O. (2023). Echocardiographic improvement of left atrial booster pump and reservoir function observed in heart failure with improved ejection fraction and its prognostication. International Journal of Cardiology, 393(Supp.), 5-5.</w:t>
      </w:r>
    </w:p>
    <w:p>
      <w:pPr>
        <w:spacing w:line="240" w:lineRule="auto"/>
        <w:ind w:left="360"/>
        <w:jc w:val="both"/>
        <w:rPr>
          <w:rFonts w:ascii="Arial" w:cs="Arial" w:hAnsi="Arial"/>
          <w:sz w:val="16"/>
          <w:szCs w:val="16"/>
        </w:rPr>
      </w:pPr>
      <w:r>
        <w:rPr>
          <w:rFonts w:ascii="Arial" w:cs="Arial" w:hAnsi="Arial"/>
          <w:sz w:val="16"/>
          <w:szCs w:val="16"/>
        </w:rPr>
        <w:t>B.K. C., Hwei Sung L., En Ze C., L.K. T., I. X. P., L. K. L., K. H. C., A. T. Y. K., H. K. K., F.E.P. S., K.H. H., H.B. C., C.T. T., K.T. K., Y.Y. O., Said A., A.Y.Y. F., T.K. O. and Y.L. C. (2023). The role of extracellular volume fraction in predicting left ventricular reverse remodelling and adverse outcomes in patients with non-ischemic cardiomyopathy and reduced left ventricular ejection fraction. International Journal of Cardiology, 393(Supp.), 6-6.</w:t>
      </w:r>
    </w:p>
    <w:p>
      <w:pPr>
        <w:spacing w:line="240" w:lineRule="auto"/>
        <w:ind w:left="360"/>
        <w:jc w:val="both"/>
        <w:rPr>
          <w:rFonts w:ascii="Arial" w:cs="Arial" w:hAnsi="Arial"/>
          <w:sz w:val="16"/>
          <w:szCs w:val="16"/>
        </w:rPr>
      </w:pPr>
      <w:r>
        <w:rPr>
          <w:rFonts w:ascii="Arial" w:cs="Arial" w:hAnsi="Arial"/>
          <w:sz w:val="16"/>
          <w:szCs w:val="16"/>
        </w:rPr>
        <w:t>Han Bing C., S. T. C., Y. H. H., T. J. C., H. S. L., En Ze C., B.K. C., L. K. L., L.K. T., I. X. P., H. K. K., C.T. T., Y.Y. O., Y.L. C., A.Y.Y. F., Said A., T.K. O., K.T. K. and K. H. H. (2023). Electrical characteristics and clinical outcomes during left bundle branch area pacing in patients with narrow QRS and comparison in mechanical synchrony with his bundle pacing, biventricular pacing and right ventricular apical pacing. International Journal of Cardiology, 393(Supp.), 1-2.</w:t>
      </w:r>
    </w:p>
    <w:p>
      <w:pPr>
        <w:spacing w:line="240" w:lineRule="auto"/>
        <w:ind w:left="360"/>
        <w:jc w:val="both"/>
        <w:rPr>
          <w:rFonts w:ascii="Arial" w:cs="Arial" w:hAnsi="Arial"/>
          <w:sz w:val="16"/>
          <w:szCs w:val="16"/>
        </w:rPr>
      </w:pPr>
      <w:r>
        <w:rPr>
          <w:rFonts w:ascii="Arial" w:cs="Arial" w:hAnsi="Arial"/>
          <w:sz w:val="16"/>
          <w:szCs w:val="16"/>
        </w:rPr>
        <w:t>H. K. K., M. N. N., Y. X. L., S. S. K., A.Y.Y. F., B.K. C., H.S. L., Han Bing C., En Ze C., L.K. T., I. X. P., F.E.P. S., L. K. L., K. H. C., A. T. Y. K., K. H. H., K.T. K., C.T. T., Said A., Y.Y. O., Y.L. C. and T.K. O. (2023). Impact of total ischemic time (TIT) on 1-month clinical outcomes at a tertiary cardiology centre (TCC) with a limited primary percutaneous coronary intervention (LPPCI) service in the management of ST-elevation myocardial infarction (STEMI). International Journal of Cardiology, 393(Supp.), 10-11.</w:t>
      </w:r>
    </w:p>
    <w:p>
      <w:pPr>
        <w:spacing w:line="240" w:lineRule="auto"/>
        <w:ind w:left="360"/>
        <w:jc w:val="both"/>
        <w:rPr>
          <w:rFonts w:ascii="Arial" w:cs="Arial" w:hAnsi="Arial"/>
          <w:sz w:val="16"/>
          <w:szCs w:val="16"/>
        </w:rPr>
      </w:pPr>
      <w:r>
        <w:rPr>
          <w:rFonts w:ascii="Arial" w:cs="Arial" w:hAnsi="Arial"/>
          <w:sz w:val="16"/>
          <w:szCs w:val="16"/>
        </w:rPr>
        <w:t>Ajeng, R. N., Rahman, M. M., Said, A. B., Ameenudeen, M., Choo, G. M. G. K., Daud, M. S. B., &amp; Gahamat, M. F. (2023). Prevalence of Rheumatic Heart Disease among School-going Children in Northern and Southern Regions of Sarawak, Malaysia. Malaysian Journal of Public Health Medicine 23(1), 103-109.</w:t>
      </w:r>
    </w:p>
    <w:p>
      <w:pPr>
        <w:spacing w:line="240" w:lineRule="auto"/>
        <w:ind w:left="360"/>
        <w:jc w:val="both"/>
        <w:rPr>
          <w:rFonts w:ascii="Arial" w:cs="Arial" w:hAnsi="Arial"/>
          <w:sz w:val="16"/>
          <w:szCs w:val="16"/>
        </w:rPr>
      </w:pPr>
      <w:r>
        <w:rPr>
          <w:rFonts w:ascii="Arial" w:cs="Arial" w:hAnsi="Arial"/>
          <w:sz w:val="16"/>
          <w:szCs w:val="16"/>
        </w:rPr>
        <w:t>Chow H., Ling H., Chan E., Chung B., Then L., Pang I., Khor H., Chan S., Tan C., Koh K., Cham Y., Said A., Fong A., Ong T. and Oon Y. (2022). Prevalence of Acid alpha-Glucosidase (GAA) Pseudodefiency Allele and It’s Clinical Significance Among Patients with Cardiomyopathy. International Journal of Cardiology, 369(Supp.), 6-6.</w:t>
      </w:r>
    </w:p>
    <w:p>
      <w:pPr>
        <w:spacing w:line="240" w:lineRule="auto"/>
        <w:ind w:left="360"/>
        <w:jc w:val="both"/>
        <w:rPr>
          <w:rFonts w:ascii="Arial" w:cs="Arial" w:hAnsi="Arial"/>
          <w:sz w:val="16"/>
          <w:szCs w:val="16"/>
        </w:rPr>
      </w:pPr>
      <w:r>
        <w:rPr>
          <w:rFonts w:ascii="Arial" w:cs="Arial" w:hAnsi="Arial"/>
          <w:sz w:val="16"/>
          <w:szCs w:val="16"/>
        </w:rPr>
        <w:t>Chow H., Ling H., Chan E., Chung B., Then L., Pang L., Chan S., Khor H., Tan C., Oon Y., Koh K., Cham Y., Said A., Fong A. and Ong T. (2022). Coronary artery calcification – distribution, extent and 1-year outcomes in patients with low to intermediate pre-test probability of coronary artery disease.. International Journal of Cardiology, 369(Supp.), 24-24.</w:t>
      </w:r>
    </w:p>
    <w:p>
      <w:pPr>
        <w:spacing w:line="240" w:lineRule="auto"/>
        <w:ind w:left="360"/>
        <w:jc w:val="both"/>
        <w:rPr>
          <w:rFonts w:ascii="Arial" w:cs="Arial" w:hAnsi="Arial"/>
          <w:sz w:val="16"/>
          <w:szCs w:val="16"/>
        </w:rPr>
      </w:pPr>
      <w:r>
        <w:rPr>
          <w:rFonts w:ascii="Arial" w:cs="Arial" w:hAnsi="Arial"/>
          <w:sz w:val="16"/>
          <w:szCs w:val="16"/>
        </w:rPr>
        <w:t>Bhavnani C., Fong A., Koh K., Pang I., Chen L., Ling H., Thien L., Chung B., Tan C., Oon Y., Ho K., Shu F., Said A., Cham Y. and Ong T. (2022). Performance and 12-month Outcomes of a Wire-free Fractional Flow Reserve System for Assessment of Coronary Artery Disease. Journal of Asian Pacific Society of Cardiology, 1(1), 1-5.</w:t>
      </w:r>
    </w:p>
    <w:p>
      <w:pPr>
        <w:spacing w:line="240" w:lineRule="auto"/>
        <w:ind w:left="360"/>
        <w:jc w:val="both"/>
        <w:rPr>
          <w:rFonts w:ascii="Arial" w:cs="Arial" w:hAnsi="Arial"/>
          <w:sz w:val="16"/>
          <w:szCs w:val="16"/>
        </w:rPr>
      </w:pPr>
      <w:r>
        <w:rPr>
          <w:rFonts w:ascii="Arial" w:cs="Arial" w:hAnsi="Arial"/>
          <w:sz w:val="16"/>
          <w:szCs w:val="16"/>
        </w:rPr>
        <w:t>Tan C., Noni V., Herman Ulok Melina W., Abdorahman U., Bimbang J., Abdul Malik N., Hossen M., Rahman M., Suut L., Said A., Chen C., Sepop B., Abu Samat M., Chew J., Mamora D. and Sian K. (2022). Antibody dynamics post-Comirnaty and CoronaVac vaccination in Malaysia. Scientific Reports, 12(1), 1-12.</w:t>
      </w:r>
    </w:p>
    <w:p>
      <w:pPr>
        <w:spacing w:line="240" w:lineRule="auto"/>
        <w:ind w:left="360"/>
        <w:jc w:val="both"/>
        <w:rPr>
          <w:rFonts w:ascii="Arial" w:cs="Arial" w:hAnsi="Arial"/>
          <w:sz w:val="16"/>
          <w:szCs w:val="16"/>
        </w:rPr>
      </w:pPr>
      <w:r>
        <w:rPr>
          <w:rFonts w:ascii="Arial" w:cs="Arial" w:hAnsi="Arial"/>
          <w:sz w:val="16"/>
          <w:szCs w:val="16"/>
        </w:rPr>
        <w:t>Forging Ahead: 25 Years of Diligence, Faith and Commitment</w:t>
      </w:r>
    </w:p>
    <w:p>
      <w:pPr>
        <w:spacing w:line="240" w:lineRule="auto"/>
        <w:ind w:left="360"/>
        <w:jc w:val="both"/>
        <w:rPr>
          <w:rFonts w:ascii="Arial" w:cs="Arial" w:hAnsi="Arial"/>
          <w:sz w:val="16"/>
          <w:szCs w:val="16"/>
        </w:rPr>
      </w:pPr>
      <w:r>
        <w:rPr>
          <w:rFonts w:ascii="Arial" w:cs="Arial" w:hAnsi="Arial"/>
          <w:sz w:val="16"/>
          <w:szCs w:val="16"/>
        </w:rPr>
        <w:t>Forging Ahead: 25 Years of Diligence, Faith and Commitment</w:t>
      </w:r>
    </w:p>
    <w:p>
      <w:pPr>
        <w:spacing w:line="240" w:lineRule="auto"/>
        <w:ind w:left="360"/>
        <w:jc w:val="both"/>
        <w:rPr>
          <w:rFonts w:ascii="Arial" w:cs="Arial" w:hAnsi="Arial"/>
          <w:sz w:val="16"/>
          <w:szCs w:val="16"/>
        </w:rPr>
      </w:pPr>
      <w:r>
        <w:rPr>
          <w:rFonts w:ascii="Arial" w:cs="Arial" w:hAnsi="Arial"/>
          <w:sz w:val="16"/>
          <w:szCs w:val="16"/>
        </w:rPr>
        <w:t>Kuan J.W., Tan C.S., Su A.T., Noni V., Herman Ulok Melina W.U., Abdorahman U.S., Bimbang J.N., Su'ut L. and Said A. (2022). Antibody Response Post-COVID-19 Vaccination in Patients With Chronic Myeloid Leukemia With Comparison Between Comirnaty and CoronaVac Vaccine. Asia-Pacific Journal of Public Health, 1(1), 1.</w:t>
      </w:r>
    </w:p>
    <w:p>
      <w:pPr>
        <w:spacing w:line="240" w:lineRule="auto"/>
        <w:ind w:left="360"/>
        <w:jc w:val="both"/>
        <w:rPr>
          <w:rFonts w:ascii="Arial" w:cs="Arial" w:hAnsi="Arial"/>
          <w:sz w:val="16"/>
          <w:szCs w:val="16"/>
        </w:rPr>
      </w:pPr>
      <w:r>
        <w:rPr>
          <w:rFonts w:ascii="Arial" w:cs="Arial" w:hAnsi="Arial"/>
          <w:sz w:val="16"/>
          <w:szCs w:val="16"/>
        </w:rPr>
        <w:t>Diana Leh-Ching N., Gin Gin G., Chee Shee C., Anuar N., Sindeh W., Wei‑Jing C., Said A. and Seng‑Beng T. (2022). The willingness of parents to vaccinate their children younger than 12 years against COVID-19: a cross-sectional study
in Malaysia. BMC Public Health, 22(1265), 1-13.</w:t>
      </w:r>
    </w:p>
    <w:p>
      <w:pPr>
        <w:spacing w:line="240" w:lineRule="auto"/>
        <w:ind w:left="360"/>
        <w:jc w:val="both"/>
        <w:rPr>
          <w:rFonts w:ascii="Arial" w:cs="Arial" w:hAnsi="Arial"/>
          <w:sz w:val="16"/>
          <w:szCs w:val="16"/>
        </w:rPr>
      </w:pPr>
      <w:r>
        <w:rPr>
          <w:rFonts w:ascii="Arial" w:cs="Arial" w:hAnsi="Arial"/>
          <w:sz w:val="16"/>
          <w:szCs w:val="16"/>
        </w:rPr>
        <w:t>Hon H., Lim C., Bing C., Lin C., Ting T. and Said A. (2022). A stormy chase of coronary artery spasm : Thyroid storm
in acute myocardial infarction. MJM Case Reports Journal, 1(2), 152-155.</w:t>
      </w:r>
    </w:p>
    <w:p>
      <w:pPr>
        <w:spacing w:line="240" w:lineRule="auto"/>
        <w:ind w:left="360"/>
        <w:jc w:val="both"/>
        <w:rPr>
          <w:rFonts w:ascii="Arial" w:cs="Arial" w:hAnsi="Arial"/>
          <w:sz w:val="16"/>
          <w:szCs w:val="16"/>
        </w:rPr>
      </w:pPr>
      <w:r>
        <w:rPr>
          <w:rFonts w:ascii="Arial" w:cs="Arial" w:hAnsi="Arial"/>
          <w:sz w:val="16"/>
          <w:szCs w:val="16"/>
        </w:rPr>
        <w:t>Hon H., Lim C., Bing C., Lin C., Ting T. and Said A. (2022). A stormy chase of coronary artery spasm : Thyroid storm
in acute myocardial infarction. MJM Case Reports Journal, 1(2), 152-155.</w:t>
      </w:r>
    </w:p>
    <w:p>
      <w:pPr>
        <w:spacing w:line="240" w:lineRule="auto"/>
        <w:ind w:left="360"/>
        <w:jc w:val="both"/>
        <w:rPr>
          <w:rFonts w:ascii="Arial" w:cs="Arial" w:hAnsi="Arial"/>
          <w:sz w:val="16"/>
          <w:szCs w:val="16"/>
        </w:rPr>
      </w:pPr>
      <w:r>
        <w:rPr>
          <w:rFonts w:ascii="Arial" w:cs="Arial" w:hAnsi="Arial"/>
          <w:sz w:val="16"/>
          <w:szCs w:val="16"/>
        </w:rPr>
        <w:t>Koh, K., Law, W., Zaw, W., Foo, D., Tan, C., Steven, A., Samuel, D., Fam, T., Chai, C., Wong, Z., Xaviar, S., Bhavnani, C., Tan, J., Oon, Y., Said, A., Fong, A., &amp;amp; Ong, T. (2021). Smartphone electrocardiogram for detecting atrial fibrillation after a cerebral ischaemic event: A multicentre randomized controlled trial. EP Europace, 23(7), 1016–1023. https://doi.org/10.1093/europace/euab036</w:t>
      </w:r>
    </w:p>
    <w:p>
      <w:pPr>
        <w:spacing w:line="240" w:lineRule="auto"/>
        <w:ind w:left="360"/>
        <w:jc w:val="both"/>
        <w:rPr>
          <w:rFonts w:ascii="Arial" w:cs="Arial" w:hAnsi="Arial"/>
          <w:sz w:val="16"/>
          <w:szCs w:val="16"/>
        </w:rPr>
      </w:pPr>
      <w:r>
        <w:rPr>
          <w:rFonts w:ascii="Arial" w:cs="Arial" w:hAnsi="Arial"/>
          <w:sz w:val="16"/>
          <w:szCs w:val="16"/>
        </w:rPr>
        <w:t>Pei Xuan KUAN, Weng Ken CHAN, Pin Fen CHUA, John Jui Ping YEO, Fatin Ellisya binti SAPRI ,Mohamad Adam bin HJ BUJANG, Asri bin SAID. (2021). Simple Lifestyle Indicator Questionnaire for Cardiovascular Risk among Medical Students in Malaysia. , 1(1), 1.</w:t>
      </w:r>
    </w:p>
    <w:p>
      <w:pPr>
        <w:spacing w:line="240" w:lineRule="auto"/>
        <w:ind w:left="360"/>
        <w:jc w:val="both"/>
        <w:rPr>
          <w:rFonts w:ascii="Arial" w:cs="Arial" w:hAnsi="Arial"/>
          <w:sz w:val="16"/>
          <w:szCs w:val="16"/>
        </w:rPr>
      </w:pPr>
      <w:r>
        <w:rPr>
          <w:rFonts w:ascii="Arial" w:cs="Arial" w:hAnsi="Arial"/>
          <w:sz w:val="16"/>
          <w:szCs w:val="16"/>
        </w:rPr>
        <w:t>Loh HH, Taipin H, Said A. (2021). The effect of obesity in pregnancy and gestational weight gain on neonatal outcome in glucose‐tolerant mothers. Obesity Science and Practice. 2021. 1–7</w:t>
      </w:r>
    </w:p>
    <w:p>
      <w:pPr>
        <w:spacing w:line="240" w:lineRule="auto"/>
        <w:ind w:left="360"/>
        <w:jc w:val="both"/>
        <w:rPr>
          <w:rFonts w:ascii="Arial" w:cs="Arial" w:hAnsi="Arial"/>
          <w:sz w:val="16"/>
          <w:szCs w:val="16"/>
        </w:rPr>
      </w:pPr>
      <w:r>
        <w:rPr>
          <w:rFonts w:ascii="Arial" w:cs="Arial" w:hAnsi="Arial"/>
          <w:sz w:val="16"/>
          <w:szCs w:val="16"/>
        </w:rPr>
        <w:t>Diana Leh-Ching N., Said A. and Chee Shee C. (2020). Time in therapeutic range, quality of life and treatment satisfaction of patients on long‑term warfarin for non‑valvular atrial
fibrillation: a cross‑sectional study. Health and Quality of Life Outcomes, 18(347), 1-9.</w:t>
      </w:r>
    </w:p>
    <w:p>
      <w:pPr>
        <w:spacing w:line="240" w:lineRule="auto"/>
        <w:ind w:left="360"/>
        <w:jc w:val="both"/>
        <w:rPr>
          <w:rFonts w:ascii="Arial" w:cs="Arial" w:hAnsi="Arial"/>
          <w:sz w:val="16"/>
          <w:szCs w:val="16"/>
        </w:rPr>
      </w:pPr>
      <w:r>
        <w:rPr>
          <w:rFonts w:ascii="Arial" w:cs="Arial" w:hAnsi="Arial"/>
          <w:sz w:val="16"/>
          <w:szCs w:val="16"/>
        </w:rPr>
        <w:t>Fazmin I.T., Achercouk Z., Edling C.E., Said A. and Jeevaratnam K. (2020). Circulating microrna as a biomarker for coronary artery disease. Biomolecules, 10(10), 1-21.</w:t>
      </w:r>
    </w:p>
    <w:p>
      <w:pPr>
        <w:spacing w:line="240" w:lineRule="auto"/>
        <w:ind w:left="360"/>
        <w:jc w:val="both"/>
        <w:rPr>
          <w:rFonts w:ascii="Arial" w:cs="Arial" w:hAnsi="Arial"/>
          <w:sz w:val="16"/>
          <w:szCs w:val="16"/>
        </w:rPr>
      </w:pPr>
      <w:r>
        <w:rPr>
          <w:rFonts w:ascii="Arial" w:cs="Arial" w:hAnsi="Arial"/>
          <w:sz w:val="16"/>
          <w:szCs w:val="16"/>
        </w:rPr>
        <w:t>Hwei Sung L., Ing Xiang P., Alan Yean Yip F., Tiong Kiam O., Ning Zhang K., Yee Ling C., Said A., Yen Yee O., Keng Tat K., Chen Ting T., Kian Hui H., Francis Eng Pbeng S., Chandan Deepak B. and Lean Seng C. (2020). COVID-19 Antibody Surveillance Among Healthcare Workers in A Non-COVID designated Cardiology Centre. Authorea, 1(1), 1-13.</w:t>
      </w:r>
    </w:p>
    <w:p>
      <w:pPr>
        <w:spacing w:line="240" w:lineRule="auto"/>
        <w:ind w:left="360"/>
        <w:jc w:val="both"/>
        <w:rPr>
          <w:rFonts w:ascii="Arial" w:cs="Arial" w:hAnsi="Arial"/>
          <w:sz w:val="16"/>
          <w:szCs w:val="16"/>
        </w:rPr>
      </w:pPr>
      <w:r>
        <w:rPr>
          <w:rFonts w:ascii="Arial" w:cs="Arial" w:hAnsi="Arial"/>
          <w:sz w:val="16"/>
          <w:szCs w:val="16"/>
        </w:rPr>
        <w:t>Kuan P.X., Chan W.K., Chua P.F., John Yeo J.P., Sapri F.E., Bujang M.A.H. and Said A. (2020). Lifestyle factors associated with cardiovascular risk among healthcare workers from the tertiary hospitals in sarawak. Malaysian Family Physician, 15(1), 15-22.</w:t>
      </w:r>
    </w:p>
    <w:p>
      <w:pPr>
        <w:spacing w:line="240" w:lineRule="auto"/>
        <w:ind w:left="360"/>
        <w:jc w:val="both"/>
        <w:rPr>
          <w:rFonts w:ascii="Arial" w:cs="Arial" w:hAnsi="Arial"/>
          <w:sz w:val="16"/>
          <w:szCs w:val="16"/>
        </w:rPr>
      </w:pPr>
      <w:r>
        <w:rPr>
          <w:rFonts w:ascii="Arial" w:cs="Arial" w:hAnsi="Arial"/>
          <w:sz w:val="16"/>
          <w:szCs w:val="16"/>
        </w:rPr>
        <w:t>Rahman M., Binti Putit Z., Binti Suut N., Bin Arif M., Bin Said A., Bin Suhaili M., Abd Razak M., Binti Tambi Z. and How Kee L. (2020). Coping Strategies By Stroke Caregivers : Evidence From A Qualitative Study In Sarawak, Malaysia. Malaysian Journal of Public Health Medicine, 20(1), 48-54.</w:t>
      </w:r>
    </w:p>
    <w:p>
      <w:pPr>
        <w:spacing w:line="240" w:lineRule="auto"/>
        <w:ind w:left="360"/>
        <w:jc w:val="both"/>
        <w:rPr>
          <w:rFonts w:ascii="Arial" w:cs="Arial" w:hAnsi="Arial"/>
          <w:sz w:val="16"/>
          <w:szCs w:val="16"/>
        </w:rPr>
      </w:pPr>
      <w:r>
        <w:rPr>
          <w:rFonts w:ascii="Arial" w:cs="Arial" w:hAnsi="Arial"/>
          <w:sz w:val="16"/>
          <w:szCs w:val="16"/>
        </w:rPr>
        <w:t>Chia, Y. M., Teng, T. K., Tay, W. T., Anand, I., Macdonald, M. R., Yap, J., . . . Phrommintikul, A. (2019). Prescription patterns of anti‐diabetic medications and clinical outcomes in Asian patients with heart failure and diabetes mellitus. European Journal of Heart Failure, 21(5), 685-688. doi:10.1002/ejhf.1467</w:t>
      </w:r>
    </w:p>
    <w:p>
      <w:pPr>
        <w:spacing w:line="240" w:lineRule="auto"/>
        <w:ind w:left="360"/>
        <w:jc w:val="both"/>
        <w:rPr>
          <w:rFonts w:ascii="Arial" w:cs="Arial" w:hAnsi="Arial"/>
          <w:sz w:val="16"/>
          <w:szCs w:val="16"/>
        </w:rPr>
      </w:pPr>
      <w:r>
        <w:rPr>
          <w:rFonts w:ascii="Arial" w:cs="Arial" w:hAnsi="Arial"/>
          <w:sz w:val="16"/>
          <w:szCs w:val="16"/>
        </w:rPr>
        <w:t>Komajda, M., Schöpe, J., Wagenpfeil, S., Tavazzi, L., Böhm, M., Ponikowski, P., . . . Salustri, A. (2019). Physicians' guideline adherence is associated with long‐term heart failure mortality in outpatients with heart failure with reduced ejection fraction: The QUALIFY international registry. European Journal of Heart Failure, 21(7), 921-929. doi:10.1002/ejhf.1459</w:t>
      </w:r>
    </w:p>
    <w:p>
      <w:pPr>
        <w:spacing w:line="240" w:lineRule="auto"/>
        <w:ind w:left="360"/>
        <w:jc w:val="both"/>
        <w:rPr>
          <w:rFonts w:ascii="Arial" w:cs="Arial" w:hAnsi="Arial"/>
          <w:sz w:val="16"/>
          <w:szCs w:val="16"/>
        </w:rPr>
      </w:pPr>
      <w:r>
        <w:rPr>
          <w:rFonts w:ascii="Arial" w:cs="Arial" w:hAnsi="Arial"/>
          <w:sz w:val="16"/>
          <w:szCs w:val="16"/>
        </w:rPr>
        <w:t>Rahman MM, Suut NB, Putit ZB, Arif MT, Said AB, Suhaili MRB, Fadzillah M, Bakon FA, Tambi ZB, Kee LH. Burden of Stroke Caregivers: Evidence from a Qualitative Study in Sarawak, Malaysia. Bangladesh Journal of Medical Science 2018; 17 (04):593-599</w:t>
      </w:r>
    </w:p>
    <w:p>
      <w:pPr>
        <w:spacing w:line="240" w:lineRule="auto"/>
        <w:ind w:left="360"/>
        <w:jc w:val="both"/>
        <w:rPr>
          <w:rFonts w:ascii="Arial" w:cs="Arial" w:hAnsi="Arial"/>
          <w:sz w:val="16"/>
          <w:szCs w:val="16"/>
        </w:rPr>
      </w:pPr>
      <w:r>
        <w:rPr>
          <w:rFonts w:ascii="Arial" w:cs="Arial" w:hAnsi="Arial"/>
          <w:sz w:val="16"/>
          <w:szCs w:val="16"/>
        </w:rPr>
        <w:t>Rahman MM, SutnNB, Putit ZB, Arif MT, Said AB. (2018) Burden of Stroke Caregivers: Evidence from a Qualitative Study in Sarawak, Malaysia, Bangladesh Journal of Medical Sciences, 2018, Vol 17, 593-599</w:t>
      </w:r>
    </w:p>
    <w:p>
      <w:pPr>
        <w:spacing w:line="240" w:lineRule="auto"/>
        <w:ind w:left="360"/>
        <w:jc w:val="both"/>
        <w:rPr>
          <w:rFonts w:ascii="Arial" w:cs="Arial" w:hAnsi="Arial"/>
          <w:sz w:val="16"/>
          <w:szCs w:val="16"/>
        </w:rPr>
      </w:pPr>
      <w:r>
        <w:rPr>
          <w:rFonts w:ascii="Arial" w:cs="Arial" w:hAnsi="Arial"/>
          <w:sz w:val="16"/>
          <w:szCs w:val="16"/>
        </w:rPr>
        <w:t>Hanim M.A.N., Asri S., Koh K.T., Oon Y.Y., Yip F.A.Y., Cham Y.L., Tan S.K., Khiew N.Z., Yew K.L., Voon C.Y. and Ong T.K. (2018). Early cardiovascular mri post successful reperfusion of acute myocardial infarction: An exploratory study. Malaysian Applied Biology, 47(1), 181-188.</w:t>
      </w:r>
    </w:p>
    <w:p>
      <w:pPr>
        <w:spacing w:line="240" w:lineRule="auto"/>
        <w:ind w:left="360"/>
        <w:jc w:val="both"/>
        <w:rPr>
          <w:rFonts w:ascii="Arial" w:cs="Arial" w:hAnsi="Arial"/>
          <w:sz w:val="16"/>
          <w:szCs w:val="16"/>
        </w:rPr>
      </w:pPr>
      <w:r>
        <w:rPr>
          <w:rFonts w:ascii="Arial" w:cs="Arial" w:hAnsi="Arial"/>
          <w:sz w:val="16"/>
          <w:szCs w:val="16"/>
        </w:rPr>
        <w:t>Y.Y. O., N Y., S.A.S R., K.T. K., K.H. H., F. S., C.T. T., C.Y. V., N.Z. K., A. S., N.H. M. and Y.L. C. (2017). Thirty-Day Clinical Outcome of Primary Percutaneous Intervention Versus Fibrinolysis Followed by Coronary Angiography in ST-Segment Elevation Myocardial Infarction. International Journal of Cardiology, 249(S), S25-S26.</w:t>
      </w:r>
    </w:p>
    <w:p>
      <w:pPr>
        <w:spacing w:line="240" w:lineRule="auto"/>
        <w:ind w:left="360"/>
        <w:jc w:val="both"/>
        <w:rPr>
          <w:rFonts w:ascii="Arial" w:cs="Arial" w:hAnsi="Arial"/>
          <w:sz w:val="16"/>
          <w:szCs w:val="16"/>
        </w:rPr>
      </w:pPr>
      <w:r>
        <w:rPr>
          <w:rFonts w:ascii="Arial" w:cs="Arial" w:hAnsi="Arial"/>
          <w:sz w:val="16"/>
          <w:szCs w:val="16"/>
        </w:rPr>
        <w:t>Y.Y. O., S.I. K., N.H. M., K.T. K., C.S. K., F. S., C.T. T., C.Y. V., N.Z. K., A. S., Y.L. C., A.Y.Y. F. and T.K. O. (2017). The Incidence and Clinical Relevance of Coronary Artery Anomalies Detected on Multidetector Computed Tomography in Sarawak. International Journal of Cardiology, 249(S), S20-S21.</w:t>
      </w:r>
    </w:p>
    <w:p>
      <w:pPr>
        <w:spacing w:line="240" w:lineRule="auto"/>
        <w:ind w:left="360"/>
        <w:jc w:val="both"/>
        <w:rPr>
          <w:rFonts w:ascii="Arial" w:cs="Arial" w:hAnsi="Arial"/>
          <w:sz w:val="16"/>
          <w:szCs w:val="16"/>
        </w:rPr>
      </w:pPr>
      <w:r>
        <w:rPr>
          <w:rFonts w:ascii="Arial" w:cs="Arial" w:hAnsi="Arial"/>
          <w:sz w:val="16"/>
          <w:szCs w:val="16"/>
        </w:rPr>
        <w:t>K.H. H., N.H. M., N.A. M., N.L. H., K.T. K., A. S., F J., A.Y.Y. F. and T.K. O. (2017). Indication, Safety and Clinical Impact of Cardiovascular Magnetic Resonance: A Pilot Run of the First National CMR Registry for Malaysia. International Journal of Cardiology, 249(s), S19-S20.</w:t>
      </w:r>
    </w:p>
    <w:p>
      <w:pPr>
        <w:spacing w:line="240" w:lineRule="auto"/>
        <w:ind w:left="360"/>
        <w:jc w:val="both"/>
        <w:rPr>
          <w:rFonts w:ascii="Arial" w:cs="Arial" w:hAnsi="Arial"/>
          <w:sz w:val="16"/>
          <w:szCs w:val="16"/>
        </w:rPr>
      </w:pPr>
      <w:r>
        <w:rPr>
          <w:rFonts w:ascii="Arial" w:cs="Arial" w:hAnsi="Arial"/>
          <w:sz w:val="16"/>
          <w:szCs w:val="16"/>
        </w:rPr>
        <w:t>Y.Y. O., N.H. M., A. S., A. K., C.S. K., K.H. H., F. S., C.T. T., C.Y. V., N.Z. K., Y.L. C., F.Y.Y. A. and T.K. O. (2017). Accuracy and Reproducibility of Real-Time Three-Dimensional Echocardiography Versus Two-Dimensional 
Echocardiography in Measuring Left Ventricular Volumes and Ejection Fraction in Daily Clinical Practice. International Journal of Cardiology, 249(S), S18-S19.</w:t>
      </w:r>
    </w:p>
    <w:p>
      <w:pPr>
        <w:spacing w:line="240" w:lineRule="auto"/>
        <w:ind w:left="360"/>
        <w:jc w:val="both"/>
        <w:rPr>
          <w:rFonts w:ascii="Arial" w:cs="Arial" w:hAnsi="Arial"/>
          <w:sz w:val="16"/>
          <w:szCs w:val="16"/>
        </w:rPr>
      </w:pPr>
      <w:r>
        <w:rPr>
          <w:rFonts w:ascii="Arial" w:cs="Arial" w:hAnsi="Arial"/>
          <w:sz w:val="16"/>
          <w:szCs w:val="16"/>
        </w:rPr>
        <w:t>K.T. K., Y.Y. O., C.S. K., E. M., C.Y. V., A. S., Y.L. C., F. S., K.H. H., C.T. T., N.H. M., N.Z. K., A.Y.Y. F. and T.K. O. (2017). Comparison of Resting PD/PA with Fractional Flow Reserve Using a Monorail Pressure Catheter. International Journal of Cardiology, 249(S), S24.</w:t>
      </w:r>
    </w:p>
    <w:p>
      <w:pPr>
        <w:spacing w:line="240" w:lineRule="auto"/>
        <w:ind w:left="360"/>
        <w:jc w:val="both"/>
        <w:rPr>
          <w:rFonts w:ascii="Arial" w:cs="Arial" w:hAnsi="Arial"/>
          <w:sz w:val="16"/>
          <w:szCs w:val="16"/>
        </w:rPr>
      </w:pPr>
      <w:r>
        <w:rPr>
          <w:rFonts w:ascii="Arial" w:cs="Arial" w:hAnsi="Arial"/>
          <w:sz w:val="16"/>
          <w:szCs w:val="16"/>
        </w:rPr>
        <w:t>K.T. K., S.S.N. T., P.P. S., L.L. T., M.Y. K., W.S.Y. H., L.T. W., K.Y. Y., K.T. L., D.B. C., S.I. F., T.L.L. S., F. S., Y.Y. O., N.H. M., N.Z. K., Y.L. C., A. S., C.Y. V., C.S. K., K.H. H., C.T. T., A.Y.Y. F. and T.K. O. (2018). Prognostic Value of N-terminal B-type Natriuretic Peptide in Patients with Acute Myocardial Infarction: A Multicenter Study. International Journal of Cardiology, 249(S), S1.</w:t>
      </w:r>
    </w:p>
    <w:p>
      <w:pPr>
        <w:spacing w:line="240" w:lineRule="auto"/>
        <w:ind w:left="360"/>
        <w:jc w:val="both"/>
        <w:rPr>
          <w:rFonts w:ascii="Arial" w:cs="Arial" w:hAnsi="Arial"/>
          <w:sz w:val="16"/>
          <w:szCs w:val="16"/>
        </w:rPr>
      </w:pPr>
      <w:r>
        <w:rPr>
          <w:rFonts w:ascii="Arial" w:cs="Arial" w:hAnsi="Arial"/>
          <w:sz w:val="16"/>
          <w:szCs w:val="16"/>
        </w:rPr>
        <w:t>C.S. K., L.L.C. L., H. A., M. A., John Y., H.S. L. and A. S. (2017). Implications of High-Sensitivity Cardiac Troponin I in Cardiology Clinical Practice. International Journal of Cardiology, 249(S), S28.</w:t>
      </w:r>
    </w:p>
    <w:p>
      <w:pPr>
        <w:spacing w:line="240" w:lineRule="auto"/>
        <w:ind w:left="360"/>
        <w:jc w:val="both"/>
        <w:rPr>
          <w:rFonts w:ascii="Arial" w:cs="Arial" w:hAnsi="Arial"/>
          <w:sz w:val="16"/>
          <w:szCs w:val="16"/>
        </w:rPr>
      </w:pPr>
      <w:r>
        <w:rPr>
          <w:rFonts w:ascii="Arial" w:cs="Arial" w:hAnsi="Arial"/>
          <w:sz w:val="16"/>
          <w:szCs w:val="16"/>
        </w:rPr>
        <w:t>Iskandar D.N.F.A., Lim P.C., Said A., Amin N.H.M., Khan A. and Ujir H. (2017). Preliminary experiment results of left ventricular remodelling prediction using machine learning algorithms. Journal of Telecommunication, Electronic and Computer Engineering, 9(2-10), 119-124.</w:t>
      </w:r>
    </w:p>
    <w:p>
      <w:pPr>
        <w:spacing w:line="240" w:lineRule="auto"/>
        <w:ind w:left="360"/>
        <w:jc w:val="both"/>
        <w:rPr>
          <w:rFonts w:ascii="Arial" w:cs="Arial" w:hAnsi="Arial"/>
          <w:sz w:val="16"/>
          <w:szCs w:val="16"/>
        </w:rPr>
      </w:pPr>
      <w:r>
        <w:rPr>
          <w:rFonts w:ascii="Arial" w:cs="Arial" w:hAnsi="Arial"/>
          <w:sz w:val="16"/>
          <w:szCs w:val="16"/>
        </w:rPr>
        <w:t>Tan S.S.N., Fong A.Y.Y., Mejin M., Gerunsin J., Kong K.L., Chin F.Y.Y., Tiong L.L., Lim M.S.H., Said A., Khiew N.Z., Voon C.Y., Mohd Amin N.H., Cham Y.L., Koh K.T., Oon Y.Y. and Ong T.K. (2017). Association of CYP2C19*2 polymorphism with clopidogrel response and 1-year major adverse cardiovascular events in a multiethnic population with drug-eluting stents. Pharmacogenomics, 18(13), 1225-1239.</w:t>
      </w:r>
    </w:p>
    <w:p>
      <w:pPr>
        <w:spacing w:line="240" w:lineRule="auto"/>
        <w:ind w:left="360"/>
        <w:jc w:val="both"/>
        <w:rPr>
          <w:rFonts w:ascii="Arial" w:cs="Arial" w:hAnsi="Arial"/>
          <w:sz w:val="16"/>
          <w:szCs w:val="16"/>
        </w:rPr>
      </w:pPr>
      <w:r>
        <w:rPr>
          <w:rFonts w:ascii="Arial" w:cs="Arial" w:hAnsi="Arial"/>
          <w:sz w:val="16"/>
          <w:szCs w:val="16"/>
        </w:rPr>
        <w:t>Tat, K. K., Said, A., Yee, O. Y., Adinan, S. N. binti C., &amp; Kiam, O. T. (2016). ST-Elevation Myocardial Infarction in Situs Inversus Dextrocardia: A Case Report. ASEAN Heart Journal : Official Journal of the ASEAN Federation of Cardiology, 24, 10. http://doi.org/10.7603/s40602-016-0010-7</w:t>
      </w:r>
    </w:p>
    <w:p>
      <w:pPr>
        <w:spacing w:line="240" w:lineRule="auto"/>
        <w:ind w:left="360"/>
        <w:jc w:val="both"/>
        <w:rPr>
          <w:rFonts w:ascii="Arial" w:cs="Arial" w:hAnsi="Arial"/>
          <w:sz w:val="16"/>
          <w:szCs w:val="16"/>
        </w:rPr>
      </w:pPr>
      <w:r>
        <w:rPr>
          <w:rFonts w:ascii="Arial" w:cs="Arial" w:hAnsi="Arial"/>
          <w:sz w:val="16"/>
          <w:szCs w:val="16"/>
        </w:rPr>
        <w:t>YL Cham, NH Mohd Amin, NZ Khiew, A Said, AY Fong, TK Ong. Predictors of Radiation Dose in Patients Undergoing Cardiac Computed Tomography Angiography (CCTA). Global Heart. Volume 11 , Issue 2 , e55</w:t>
      </w:r>
    </w:p>
    <w:p>
      <w:pPr>
        <w:spacing w:line="240" w:lineRule="auto"/>
        <w:ind w:left="360"/>
        <w:jc w:val="both"/>
        <w:rPr>
          <w:rFonts w:ascii="Arial" w:cs="Arial" w:hAnsi="Arial"/>
          <w:sz w:val="16"/>
          <w:szCs w:val="16"/>
        </w:rPr>
      </w:pPr>
      <w:r>
        <w:rPr>
          <w:rFonts w:ascii="Arial" w:cs="Arial" w:hAnsi="Arial"/>
          <w:sz w:val="16"/>
          <w:szCs w:val="16"/>
        </w:rPr>
        <w:t>Amin, N.H.M., Chua, S.K., Voon, C.Y., Said, A., Khiew, N.Z., Tan, S.K., Fong, A., Ong, T.K.
Comprehensive right heart systolic function assessment using cardiac magnetic resonance imaging after inferior ST elevation myocardial infarction
(2015) Journal of Cardiovascular Magnetic Resonance, pp. 1-2. Article in Press.</w:t>
      </w:r>
    </w:p>
    <w:p>
      <w:pPr>
        <w:spacing w:line="240" w:lineRule="auto"/>
        <w:ind w:left="360"/>
        <w:jc w:val="both"/>
        <w:rPr>
          <w:rFonts w:ascii="Arial" w:cs="Arial" w:hAnsi="Arial"/>
          <w:sz w:val="16"/>
          <w:szCs w:val="16"/>
        </w:rPr>
      </w:pPr>
      <w:r>
        <w:rPr>
          <w:rFonts w:ascii="Arial" w:cs="Arial" w:hAnsi="Arial"/>
          <w:sz w:val="16"/>
          <w:szCs w:val="16"/>
        </w:rPr>
        <w:t>Chua, S.K., Kilung, A., Ong, T.K., Fong, A.Y.Y., Yew, K.L., Khiew, N.Z., Nor Hanim, M.A., Tan, S.K., Cham, Y.L., Asri, S., Sim, K.H.
Carotid intima media thickness and high sensitivity C-reactive protein as markers of cardiovascular risk in a Malaysian population(2014) Medical Journal of Malaysia, 69 (4), pp. 166-174.</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Chen Yoke Yong, PHD, Lifetime Trauma And Ptsd Symptoms¿in Relation To Cardiovascular Disease And Related Health Behaviours Among Adolescents And Young Adults In Malaysia,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Tiong Lee Len,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Xu Haibin, PHD, 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Wan Muhammad Sazwandy Bin Wan Harul, PHD, Mediating Role Of Self-determination In Quality Of Life Amid Catastrophic Health Expenditure And Psychological Distress Among Malaysian Retirees: An Analysis From Social- Ecological Perspectives,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Ibrahim Bin Bujang, MBR, a Study On Serum Leptin Levels And Lipid Profile In Patients With Stable Coronary Artery Disease (cad),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Natasya Marliana Binti Abdul Malik, MBR, Treatment Satisfaction And Health-related Quality Of Life Of Non-valvular Atrial Fibrillation Patients On Long-term Warfarin Based On Time In Therapeutic Range,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Bonnie Tang Bao Chee, MBR, Vitamin d In Hypertensive Obstructive Sleep Apnea: a Study Of Clinical Association And Sample Stability,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Qamariah Binti Zainal Abidin, MBR, Title Should Be Improved, To Include For Example, The Phrase Like "the Significance Of Mirna To....",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General Medicine 3, Cardiology, Additional Clinical Specialties, General Medicine 2, Respiratory Medicine, General Medicine 1, Thesis, Thesis, Neurology, Research Project Part 1, Gastroenterology/Hepatology, Nephrology, General Medicine 4, Endocrinology, Haematology, Medicine, Medicine, Introduction to Clinical Clerkship, MEDICINE, Dermatology</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